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Микрофинансовая организация - юридическое лицо, осуществляющее микрофинансовую деятельность в качестве микрофинансовой или микрокредитной компании, сведения о котором внесены в госреестр МФО. МФО вправе привлечь агента, например, в целях распространения информации об условиях предоставления микрозаймов, приема заявлений об их предоставлении, подписания от имени МФО договоров микрозайма и т.п. Однако непосредственно выдача денежных средств и заключение договора микрозайма осуществляются самой МФО (п. 2 ч. 1 ст. 2 Закона N 151-ФЗ).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 xml:space="preserve">  Рекомендуем вам до обращения в </w:t>
      </w: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конкретную</w:t>
      </w:r>
      <w:proofErr w:type="gramEnd"/>
      <w:r w:rsidRPr="0038421E">
        <w:rPr>
          <w:rFonts w:ascii="Tahoma" w:eastAsia="Times New Roman" w:hAnsi="Tahoma" w:cs="Tahoma"/>
          <w:color w:val="000000"/>
          <w:sz w:val="18"/>
          <w:szCs w:val="18"/>
        </w:rPr>
        <w:t xml:space="preserve"> МФО с заявлением о предоставлении займа убедиться в том, что она внесена в государственный реестр МФО, который ведет Банк России. Вы можете, в частности, обратиться в Банк России для получения выписки из этого реестра или непосредственно к МФО с просьбой предъявить копию такой выписки (</w:t>
      </w: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ч</w:t>
      </w:r>
      <w:proofErr w:type="gramEnd"/>
      <w:r w:rsidRPr="0038421E">
        <w:rPr>
          <w:rFonts w:ascii="Tahoma" w:eastAsia="Times New Roman" w:hAnsi="Tahoma" w:cs="Tahoma"/>
          <w:color w:val="000000"/>
          <w:sz w:val="18"/>
          <w:szCs w:val="18"/>
        </w:rPr>
        <w:t>. 5.1 ст. 4, п. 5.1 ч. 2 ст. 9 Закона N 151-ФЗ; п. п. 9, 23 Указания Банка России от 19.11.2020 N 5627-У).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Также необходимо заранее ознакомиться с правилами предоставления микрозайма, утвержденными выбранной вами МФО, которые должны содержать, в частности, следующие сведения (</w:t>
      </w: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ч</w:t>
      </w:r>
      <w:proofErr w:type="gramEnd"/>
      <w:r w:rsidRPr="0038421E">
        <w:rPr>
          <w:rFonts w:ascii="Tahoma" w:eastAsia="Times New Roman" w:hAnsi="Tahoma" w:cs="Tahoma"/>
          <w:color w:val="000000"/>
          <w:sz w:val="18"/>
          <w:szCs w:val="18"/>
        </w:rPr>
        <w:t>. 3 ст. 8 Закона N 151-ФЗ):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1)порядок подачи и рассмотрения заявления на предоставление микрозайма;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2)порядок заключения договора микрозайма и предоставления заемщику графика платежей;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3)иные условия, установленные документами МФО и не являющиеся условиями договора микрозайма.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Копия указанных правил должна полностью соответствовать оригиналу и размещаться в доступном для обозрения и ознакомления месте и в Интернете (ч. 3 ст. 8, п. 2 ч. 2 ст. 9 Закона N 151-ФЗ; п. п. 1, 5.2 Указания Банка России от 28.06.2021 N 5830-У; п. 15 Приложения к Указанию Банка России N 5830-У;</w:t>
      </w:r>
      <w:proofErr w:type="gramEnd"/>
      <w:r w:rsidRPr="0038421E">
        <w:rPr>
          <w:rFonts w:ascii="Tahoma" w:eastAsia="Times New Roman" w:hAnsi="Tahoma" w:cs="Tahoma"/>
          <w:color w:val="000000"/>
          <w:sz w:val="18"/>
          <w:szCs w:val="18"/>
        </w:rPr>
        <w:t xml:space="preserve"> Информация Банка России "Вопросы и ответы. </w:t>
      </w: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Микрофинансовые организации").</w:t>
      </w:r>
      <w:proofErr w:type="gramEnd"/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0"/>
      </w:tblGrid>
      <w:tr w:rsidR="0038421E" w:rsidRPr="0038421E" w:rsidTr="0038421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Ограничения по количеству договоров потребительского микрозайма</w:t>
            </w:r>
          </w:p>
        </w:tc>
      </w:tr>
    </w:tbl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Банком России установлено предельное количество договоров краткосрочного (не более 30 календарных дней) потребительского микрозайма между одной МФО и одним заемщиком (за исключением договоров, по которым срок пользования займом фактически составил не более семи календарных дней). Так, может быть заключено не более девяти таких договоров в течение одного года, предшествующего дате получения МФО заявления на получение очередного микрозайма. Кроме того, ограничивается и количество дополнительных соглашений, увеличивающих срок возврата указанных микрозаймов, которых может быть не более пяти в течение года (п. 3 ст. 10, п. 1 ст. 13, пп. 2 п. 5, пп. 3 п. 6 ст. 24 Базового стандарта, утв. Банком России 22.06.2017).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Также не допускается заключение нового договора потребительского микрозайма со сроком возврата заемных средств не более 30 календарных дней при наличии у заемщика обязательств перед этой же МФО по другому договору о таком же микрозайме (п. 4 ст. 10 Базового стандарта).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Указанные ограничения не распространяются на некоторые виды микрозаймов: на POS-микрозаймы; микрозаймы, выданные на сумму не более 3 000 руб., срок возврата которых не превышает семи календарных дней; на микрозаймы, выданные на льготных условиях, с процентной ставкой, не превышающей трехкратную ключевую процентную ставку, установленную Банком России на дату выдачи таких микрозаймов (п. 5 ст. 10 Базового стандарта от 22.06.2017).</w:t>
      </w:r>
      <w:proofErr w:type="gramEnd"/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0"/>
      </w:tblGrid>
      <w:tr w:rsidR="0038421E" w:rsidRPr="0038421E" w:rsidTr="0038421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Особенности получения микрозайма в МФО</w:t>
            </w:r>
          </w:p>
        </w:tc>
      </w:tr>
    </w:tbl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Получение микрозайма в МФО связано со следующими особенностями.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0"/>
      </w:tblGrid>
      <w:tr w:rsidR="0038421E" w:rsidRPr="0038421E" w:rsidTr="0038421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Документы и информация о заемщике</w:t>
            </w:r>
          </w:p>
        </w:tc>
      </w:tr>
    </w:tbl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Для получения микрозайма, как правило, не требуется собирать большой пакет документов - достаточно только паспорта (иногда второго документа, который выбирается клиентом из обширного списка, утвержденного заимодавцем). Потенциальный заемщик должен подать заявление о предоставлении ему займа. Кроме того, при первом обращении может потребоваться заполнить анкету (указать Ф.И.О., возраст, место работы, адрес проживания, контактные телефоны, сумму ежемесячного дохода и т.д.). МФО вправе запрашивать у заемщика документы и сведения, необходимые для решения вопроса о предоставлении микрозайма, что должно быть предусмотрено правилами предоставления микрозаймов (п. 1 ч. 1 ст. 9 Закона N 151-ФЗ; пп. 3.1.2 Базового стандарта, утв. Банком России, Протокол от 27.04.2018 N КФНП-12).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До заключения договора МФО обязательно запрашивает у заемщика, в частности, следующую информацию (п. 1 ст. 9, п. 2 ст. 10, п. 7 ст. 24 Базового стандарта от 22.06.2017):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о размере зарплаты, наличии иного дохода и текущих денежных обязательствах, в том числе о периодичности и суммах платежей по ним, о факте производства по делу о банкротстве заемщика за последние пять лет - при рассмотрении заявления на получение займа свыше 3 000 руб.;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наличии</w:t>
      </w:r>
      <w:proofErr w:type="gramEnd"/>
      <w:r w:rsidRPr="0038421E">
        <w:rPr>
          <w:rFonts w:ascii="Tahoma" w:eastAsia="Times New Roman" w:hAnsi="Tahoma" w:cs="Tahoma"/>
          <w:color w:val="000000"/>
          <w:sz w:val="18"/>
          <w:szCs w:val="18"/>
        </w:rPr>
        <w:t xml:space="preserve"> судебных споров с участием заемщика в качестве ответчика - при рассмотрении заявления на получение займа свыше 30 000 руб.;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наличии</w:t>
      </w:r>
      <w:proofErr w:type="gramEnd"/>
      <w:r w:rsidRPr="0038421E">
        <w:rPr>
          <w:rFonts w:ascii="Tahoma" w:eastAsia="Times New Roman" w:hAnsi="Tahoma" w:cs="Tahoma"/>
          <w:color w:val="000000"/>
          <w:sz w:val="18"/>
          <w:szCs w:val="18"/>
        </w:rPr>
        <w:t xml:space="preserve"> имущества в собственности заемщика - при рассмотрении заявления о предоставлении займа свыше 100 000 руб.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На основании представленных документов, а также информации из иных источников (например, из бюро кредитных историй) МФО оценивает платежеспособность заемщика (п. п. 6.1, 6.2 Базового стандарта N КФНП-12).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0"/>
      </w:tblGrid>
      <w:tr w:rsidR="0038421E" w:rsidRPr="0038421E" w:rsidTr="0038421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lastRenderedPageBreak/>
              <w:t>Сумма и валюта микрозайма</w:t>
            </w:r>
          </w:p>
        </w:tc>
      </w:tr>
    </w:tbl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Максимальная сумма, которая может быть предоставлена гражданину-заемщику по договорам микрозайма, составляет 1 </w:t>
      </w: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млн</w:t>
      </w:r>
      <w:proofErr w:type="gramEnd"/>
      <w:r w:rsidRPr="0038421E">
        <w:rPr>
          <w:rFonts w:ascii="Tahoma" w:eastAsia="Times New Roman" w:hAnsi="Tahoma" w:cs="Tahoma"/>
          <w:color w:val="000000"/>
          <w:sz w:val="18"/>
          <w:szCs w:val="18"/>
        </w:rPr>
        <w:t xml:space="preserve"> руб., если заимодавцем является микрофинансовая компания, и 500 тыс. руб., если заимодавец - микрокредитная компания. При этом микрозайм выдается только в рублях (</w:t>
      </w: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ч</w:t>
      </w:r>
      <w:proofErr w:type="gramEnd"/>
      <w:r w:rsidRPr="0038421E">
        <w:rPr>
          <w:rFonts w:ascii="Tahoma" w:eastAsia="Times New Roman" w:hAnsi="Tahoma" w:cs="Tahoma"/>
          <w:color w:val="000000"/>
          <w:sz w:val="18"/>
          <w:szCs w:val="18"/>
        </w:rPr>
        <w:t>. 1 ст. 8, п. 2 ч. 2, п. 2 ч. 3 ст. 12 Закона N 151-ФЗ).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0"/>
      </w:tblGrid>
      <w:tr w:rsidR="0038421E" w:rsidRPr="0038421E" w:rsidTr="0038421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Целевой характер микрозайма</w:t>
            </w:r>
          </w:p>
        </w:tc>
      </w:tr>
    </w:tbl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Микрозаймы, как правило, не являются целевыми. Однако договором может быть предусмотрена выдача целевого микрозайма с предоставлением МФО права контролировать его целевое использование с возложением на заемщика обязанности обеспечить МФО такую возможность. Указанное условие обязательно включается в договор целевого займа, если исполнение обязательств по нему обеспечено ипотекой (</w:t>
      </w: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ч</w:t>
      </w:r>
      <w:proofErr w:type="gramEnd"/>
      <w:r w:rsidRPr="0038421E">
        <w:rPr>
          <w:rFonts w:ascii="Tahoma" w:eastAsia="Times New Roman" w:hAnsi="Tahoma" w:cs="Tahoma"/>
          <w:color w:val="000000"/>
          <w:sz w:val="18"/>
          <w:szCs w:val="18"/>
        </w:rPr>
        <w:t>. 1.2 ст. 6.1 Закона от 21.12.2013 N 353-ФЗ; ч. 4 ст. 8 Закона N 151-ФЗ; п. 5.7 Базового стандарта N КФНП-12).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Отметим, что МФО не вправе выдавать гражданам потребительские займы под залог жилого помещения, либо доли в праве на общее имущество участника общей долевой собственности жилого помещения, либо права требования участника долевого строительства в отношении жилого помещения. При этом не имеет значения, кому принадлежит жилое помещение - самому заемщику или иному физическому лицу - залогодателю (п. 1 ч. 1 ст. 3 Закона N 353-ФЗ; п. 3 ч. 1 ст. 9, п. 11 ч. 1 ст. 12 Закона N 151-ФЗ).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0"/>
      </w:tblGrid>
      <w:tr w:rsidR="0038421E" w:rsidRPr="0038421E" w:rsidTr="0038421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Проценты за пользование микрозаймом</w:t>
            </w:r>
          </w:p>
        </w:tc>
      </w:tr>
    </w:tbl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Проценты за пользование микрозаймом начисляются со дня, следующего за днем выдачи микрозайма, и по день возврата займа включительно (за исключением случаев погашения микрозайма в день его выдачи). Их начисление по истечении срока его действия неправомерно (п. 3.2 Базового стандарта N КФНП-12; п. 5 Обзора, утв. Президиумом Верховного Суда РФ 24.04.2019).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Также МФО не могут в одностороннем порядке увеличивать размер процентных ставок и изменять порядок их определения (п. 5 ч. 1 ст. 12 Закона N 151-ФЗ).</w:t>
      </w:r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 xml:space="preserve">Процентная ставка по договорам потребительского кредита (займа), заключенным с 01.07.2019, не должна превышать 1% в день. </w:t>
      </w: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Это ограничение не применяется к договорам без обеспечения, заключенным на срок не более 15 дней, на сумму не более 10 000 руб., при соблюдении определенных условий (ч. 2.1 ст. 3 Закона N 151-ФЗ; ч. 23 ст. 5, ст. 6.2 Закона N 353-ФЗ; пп. "а" п. 2 ст. 1, ч. 2 ст. 3 Закона от 27.12.2018 N 554-ФЗ).</w:t>
      </w:r>
      <w:proofErr w:type="gramEnd"/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Кроме того, по краткосрочным (до года) договорам потребительского кредита (займа) не допускается начисление процентов, неустойки (штрафа, пеней), иных мер ответственности, а также платежей за услуги, оказываемые кредитором заемщику за отдельную плату по договору, после того, как их сумма достигнет 1,5-кратного размера предоставленного кредита (займа) (ч. 24 ст. 5 Закона N 353-ФЗ).</w:t>
      </w:r>
      <w:proofErr w:type="gramEnd"/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0"/>
      </w:tblGrid>
      <w:tr w:rsidR="0038421E" w:rsidRPr="0038421E" w:rsidTr="0038421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Штрафные санкции</w:t>
            </w:r>
          </w:p>
        </w:tc>
      </w:tr>
    </w:tbl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В случае просрочки возврата суммы займа и (или) уплаты процентов по краткосрочному (до года) договору потребительского микрозайма МФО вправе начислять заемщику неустойку (штрафы, пени) и иные меры ответственности на непогашенную часть суммы основного долга. Это условие должно быть указано на первой странице договора. К заемщику, досрочно (полностью или частично) возвратившему сумму микрозайма и письменно уведомившему МФО о таком намерении не менее чем за 10 календарных дней, не могут быть применены штрафные санкции за досрочный возврат микрозайма (п. 6 ч. 1 ст. 12, ч. 2, 3 ст. 12.1 Закона N 151-ФЗ).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0"/>
      </w:tblGrid>
      <w:tr w:rsidR="0038421E" w:rsidRPr="0038421E" w:rsidTr="0038421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38421E" w:rsidRPr="0038421E" w:rsidRDefault="0038421E" w:rsidP="003842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21E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Особенности досудебного урегулирования споров</w:t>
            </w:r>
          </w:p>
        </w:tc>
      </w:tr>
    </w:tbl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 xml:space="preserve">Заемщик может заявить требование о взыскании денежных сумм с МФО в судебном порядке только после обращения к финансовому уполномоченному. </w:t>
      </w:r>
      <w:proofErr w:type="gramStart"/>
      <w:r w:rsidRPr="0038421E">
        <w:rPr>
          <w:rFonts w:ascii="Tahoma" w:eastAsia="Times New Roman" w:hAnsi="Tahoma" w:cs="Tahoma"/>
          <w:color w:val="000000"/>
          <w:sz w:val="18"/>
          <w:szCs w:val="18"/>
        </w:rPr>
        <w:t>Это, в свою очередь, возможно лишь после направления соответствующего заявления в МФО с приложением копий документов по существу заявленного требования (ст. 15, ч. 1 ст. 16, ч. 2 ст. 25, п. 2 ч. 1 ст. 28 Закона от 04.06.2018 N 123-ФЗ; п. 2.9 Положения, утв. Решением Совета службы финансового уполномоченного от 12.04.2019, Протокол N 4).</w:t>
      </w:r>
      <w:proofErr w:type="gramEnd"/>
    </w:p>
    <w:p w:rsidR="0038421E" w:rsidRPr="0038421E" w:rsidRDefault="0038421E" w:rsidP="003842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421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2642E" w:rsidRPr="0038421E" w:rsidRDefault="00D2642E" w:rsidP="0038421E">
      <w:pPr>
        <w:rPr>
          <w:szCs w:val="26"/>
        </w:rPr>
      </w:pPr>
      <w:r w:rsidRPr="0038421E">
        <w:rPr>
          <w:szCs w:val="26"/>
        </w:rPr>
        <w:t xml:space="preserve"> </w:t>
      </w:r>
    </w:p>
    <w:sectPr w:rsidR="00D2642E" w:rsidRPr="0038421E" w:rsidSect="00976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8A0"/>
    <w:multiLevelType w:val="multilevel"/>
    <w:tmpl w:val="E532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F0ACE"/>
    <w:multiLevelType w:val="hybridMultilevel"/>
    <w:tmpl w:val="EF423F86"/>
    <w:lvl w:ilvl="0" w:tplc="467683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242B22"/>
    <w:multiLevelType w:val="hybridMultilevel"/>
    <w:tmpl w:val="5FEA1D48"/>
    <w:lvl w:ilvl="0" w:tplc="F4B45AB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43EB51DA"/>
    <w:multiLevelType w:val="hybridMultilevel"/>
    <w:tmpl w:val="88F006AA"/>
    <w:lvl w:ilvl="0" w:tplc="93C46B1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23214"/>
    <w:multiLevelType w:val="hybridMultilevel"/>
    <w:tmpl w:val="4706FEB2"/>
    <w:lvl w:ilvl="0" w:tplc="0B087558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66A62EF7"/>
    <w:multiLevelType w:val="multilevel"/>
    <w:tmpl w:val="D464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>
    <w:useFELayout/>
  </w:compat>
  <w:rsids>
    <w:rsidRoot w:val="0042452D"/>
    <w:rsid w:val="00000B0A"/>
    <w:rsid w:val="00040491"/>
    <w:rsid w:val="00045061"/>
    <w:rsid w:val="00064F13"/>
    <w:rsid w:val="0006637A"/>
    <w:rsid w:val="00066896"/>
    <w:rsid w:val="00073985"/>
    <w:rsid w:val="000852B9"/>
    <w:rsid w:val="00087741"/>
    <w:rsid w:val="00091A7A"/>
    <w:rsid w:val="000B31E1"/>
    <w:rsid w:val="000D22A1"/>
    <w:rsid w:val="000D3D97"/>
    <w:rsid w:val="00131C8F"/>
    <w:rsid w:val="0013335C"/>
    <w:rsid w:val="001411D5"/>
    <w:rsid w:val="00151749"/>
    <w:rsid w:val="00154BDE"/>
    <w:rsid w:val="001A7304"/>
    <w:rsid w:val="001B01C0"/>
    <w:rsid w:val="001B5A11"/>
    <w:rsid w:val="001C1647"/>
    <w:rsid w:val="001D3329"/>
    <w:rsid w:val="001E3D1C"/>
    <w:rsid w:val="002011C8"/>
    <w:rsid w:val="002110EA"/>
    <w:rsid w:val="002119ED"/>
    <w:rsid w:val="00222D71"/>
    <w:rsid w:val="00230CF7"/>
    <w:rsid w:val="0025429E"/>
    <w:rsid w:val="00254EA3"/>
    <w:rsid w:val="002708E7"/>
    <w:rsid w:val="002928B6"/>
    <w:rsid w:val="002A27C9"/>
    <w:rsid w:val="002C05F6"/>
    <w:rsid w:val="002D36AF"/>
    <w:rsid w:val="002F061F"/>
    <w:rsid w:val="00305D0F"/>
    <w:rsid w:val="00313D3C"/>
    <w:rsid w:val="00331EB9"/>
    <w:rsid w:val="00344EC2"/>
    <w:rsid w:val="00363AC1"/>
    <w:rsid w:val="00372988"/>
    <w:rsid w:val="003734AE"/>
    <w:rsid w:val="00381115"/>
    <w:rsid w:val="0038421E"/>
    <w:rsid w:val="0038513F"/>
    <w:rsid w:val="003919C0"/>
    <w:rsid w:val="003973F5"/>
    <w:rsid w:val="003A2F0D"/>
    <w:rsid w:val="003A32F6"/>
    <w:rsid w:val="003A65F8"/>
    <w:rsid w:val="003A6715"/>
    <w:rsid w:val="003C746A"/>
    <w:rsid w:val="003D3C2C"/>
    <w:rsid w:val="00414463"/>
    <w:rsid w:val="0042452D"/>
    <w:rsid w:val="00441E1E"/>
    <w:rsid w:val="004719DC"/>
    <w:rsid w:val="00472B4D"/>
    <w:rsid w:val="00486A0F"/>
    <w:rsid w:val="004B7E0F"/>
    <w:rsid w:val="004C59C2"/>
    <w:rsid w:val="004D74B1"/>
    <w:rsid w:val="004E1D47"/>
    <w:rsid w:val="004E759F"/>
    <w:rsid w:val="00501756"/>
    <w:rsid w:val="0052262F"/>
    <w:rsid w:val="0057515C"/>
    <w:rsid w:val="00593444"/>
    <w:rsid w:val="005C2C9D"/>
    <w:rsid w:val="005D0CFA"/>
    <w:rsid w:val="005E7BAE"/>
    <w:rsid w:val="005F36E9"/>
    <w:rsid w:val="00606361"/>
    <w:rsid w:val="006867BB"/>
    <w:rsid w:val="006A1ABA"/>
    <w:rsid w:val="006B1D28"/>
    <w:rsid w:val="006C5211"/>
    <w:rsid w:val="007764FE"/>
    <w:rsid w:val="007A6A8F"/>
    <w:rsid w:val="007C6CF6"/>
    <w:rsid w:val="007E5D77"/>
    <w:rsid w:val="007F34ED"/>
    <w:rsid w:val="007F7D95"/>
    <w:rsid w:val="00802BEA"/>
    <w:rsid w:val="008213AC"/>
    <w:rsid w:val="008560DF"/>
    <w:rsid w:val="00862BE4"/>
    <w:rsid w:val="008B2D6B"/>
    <w:rsid w:val="008F41B4"/>
    <w:rsid w:val="0092480C"/>
    <w:rsid w:val="00924956"/>
    <w:rsid w:val="0095105A"/>
    <w:rsid w:val="00972C15"/>
    <w:rsid w:val="009769C7"/>
    <w:rsid w:val="0098518F"/>
    <w:rsid w:val="00994061"/>
    <w:rsid w:val="00996B6C"/>
    <w:rsid w:val="009A00DF"/>
    <w:rsid w:val="009D433B"/>
    <w:rsid w:val="00A1281F"/>
    <w:rsid w:val="00A207CB"/>
    <w:rsid w:val="00A21EB7"/>
    <w:rsid w:val="00A83046"/>
    <w:rsid w:val="00A87BEC"/>
    <w:rsid w:val="00AA1978"/>
    <w:rsid w:val="00AA4D48"/>
    <w:rsid w:val="00AB7AFC"/>
    <w:rsid w:val="00AC704D"/>
    <w:rsid w:val="00AF780B"/>
    <w:rsid w:val="00B03431"/>
    <w:rsid w:val="00B112D4"/>
    <w:rsid w:val="00B3369B"/>
    <w:rsid w:val="00B361A6"/>
    <w:rsid w:val="00B81653"/>
    <w:rsid w:val="00BD4551"/>
    <w:rsid w:val="00BE61ED"/>
    <w:rsid w:val="00BF3FEE"/>
    <w:rsid w:val="00C03A98"/>
    <w:rsid w:val="00C33056"/>
    <w:rsid w:val="00C43F28"/>
    <w:rsid w:val="00C60603"/>
    <w:rsid w:val="00C753BD"/>
    <w:rsid w:val="00C954AC"/>
    <w:rsid w:val="00C96CD4"/>
    <w:rsid w:val="00CA5E7C"/>
    <w:rsid w:val="00CC0874"/>
    <w:rsid w:val="00CD15A3"/>
    <w:rsid w:val="00CF06E2"/>
    <w:rsid w:val="00D02578"/>
    <w:rsid w:val="00D162E8"/>
    <w:rsid w:val="00D2642E"/>
    <w:rsid w:val="00D42FB0"/>
    <w:rsid w:val="00D5462E"/>
    <w:rsid w:val="00D7082E"/>
    <w:rsid w:val="00D84874"/>
    <w:rsid w:val="00D952C9"/>
    <w:rsid w:val="00DC7D9F"/>
    <w:rsid w:val="00DF029C"/>
    <w:rsid w:val="00DF4EEE"/>
    <w:rsid w:val="00DF5B0E"/>
    <w:rsid w:val="00E0119F"/>
    <w:rsid w:val="00E24327"/>
    <w:rsid w:val="00E268D4"/>
    <w:rsid w:val="00E42523"/>
    <w:rsid w:val="00E738AD"/>
    <w:rsid w:val="00E759B4"/>
    <w:rsid w:val="00E8540E"/>
    <w:rsid w:val="00EC5CFB"/>
    <w:rsid w:val="00ED40A6"/>
    <w:rsid w:val="00EE6449"/>
    <w:rsid w:val="00EF0E43"/>
    <w:rsid w:val="00EF7DFC"/>
    <w:rsid w:val="00F359AB"/>
    <w:rsid w:val="00F62E82"/>
    <w:rsid w:val="00F7491C"/>
    <w:rsid w:val="00FE76DA"/>
    <w:rsid w:val="00FF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C8"/>
  </w:style>
  <w:style w:type="paragraph" w:styleId="1">
    <w:name w:val="heading 1"/>
    <w:basedOn w:val="a"/>
    <w:next w:val="a"/>
    <w:link w:val="10"/>
    <w:uiPriority w:val="9"/>
    <w:qFormat/>
    <w:rsid w:val="00AF7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452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2452D"/>
    <w:rPr>
      <w:rFonts w:ascii="Arial" w:eastAsia="Times New Roman" w:hAnsi="Arial" w:cs="Times New Roman"/>
      <w:b/>
      <w:bCs/>
      <w:sz w:val="26"/>
      <w:szCs w:val="28"/>
    </w:rPr>
  </w:style>
  <w:style w:type="character" w:styleId="a3">
    <w:name w:val="Hyperlink"/>
    <w:basedOn w:val="a0"/>
    <w:rsid w:val="0042452D"/>
    <w:rPr>
      <w:color w:val="0000FF"/>
      <w:u w:val="none"/>
    </w:rPr>
  </w:style>
  <w:style w:type="paragraph" w:styleId="a4">
    <w:name w:val="Body Text Indent"/>
    <w:basedOn w:val="a"/>
    <w:link w:val="a5"/>
    <w:rsid w:val="0042452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2452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24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734AE"/>
    <w:pPr>
      <w:ind w:left="720"/>
      <w:contextualSpacing/>
    </w:pPr>
  </w:style>
  <w:style w:type="paragraph" w:customStyle="1" w:styleId="21">
    <w:name w:val="Основной текст2"/>
    <w:basedOn w:val="a"/>
    <w:rsid w:val="00AC704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064F13"/>
  </w:style>
  <w:style w:type="paragraph" w:customStyle="1" w:styleId="ConsPlusTitle">
    <w:name w:val="ConsPlusTitle"/>
    <w:rsid w:val="00606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rmal (Web)"/>
    <w:basedOn w:val="a"/>
    <w:uiPriority w:val="99"/>
    <w:unhideWhenUsed/>
    <w:rsid w:val="00FF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95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C954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7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57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30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48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0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E173-265D-4A6A-904A-F455A96E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Льговского района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Server</cp:lastModifiedBy>
  <cp:revision>111</cp:revision>
  <cp:lastPrinted>2018-01-05T23:50:00Z</cp:lastPrinted>
  <dcterms:created xsi:type="dcterms:W3CDTF">2015-05-26T10:38:00Z</dcterms:created>
  <dcterms:modified xsi:type="dcterms:W3CDTF">2023-11-09T08:18:00Z</dcterms:modified>
</cp:coreProperties>
</file>