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ПРОЕКТ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РЕШЕНИЕ</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w:t>
      </w:r>
      <w:r>
        <w:rPr>
          <w:rFonts w:ascii="Tahoma" w:hAnsi="Tahoma" w:cs="Tahoma"/>
          <w:color w:val="000000"/>
          <w:sz w:val="14"/>
          <w:szCs w:val="14"/>
          <w:u w:val="single"/>
        </w:rPr>
        <w:t>«   »            2022 г.</w:t>
      </w:r>
      <w:r>
        <w:rPr>
          <w:rFonts w:ascii="Tahoma" w:hAnsi="Tahoma" w:cs="Tahoma"/>
          <w:color w:val="000000"/>
          <w:sz w:val="14"/>
          <w:szCs w:val="14"/>
        </w:rPr>
        <w:t>                                                                                 </w:t>
      </w:r>
      <w:r>
        <w:rPr>
          <w:rFonts w:ascii="Tahoma" w:hAnsi="Tahoma" w:cs="Tahoma"/>
          <w:color w:val="000000"/>
          <w:sz w:val="14"/>
          <w:szCs w:val="14"/>
          <w:u w:val="single"/>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 утверждении положения об организации деятельности органов местного самоуправления  муниципального образования «Городенский  сельсовет» Льговского  района  Курской области по выявлению бесхозяйного недвижимого имущества и принятию его в муниципальную собственность»</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«Городенский  сельсовет» Льговского  района Собрание депутатов Городенского сельсовета Льговского района РЕШИЛО:</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прилагаемое Положение об организации деятельности органов местного самоуправления муниципального образования «Городенский  сельсовет» Льговского  района Курской  орбласти по выявлению бесхозяйного недвижимого имущества и принятию его в муниципальную собственность.</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Опубликовать (обнародовать) настоящее решение в официальных средствах массовой информации муниципального образования «Городенский  сельсовет» Льговского  района Курской области в информационно-телекоммуникационной сети Интернет на официальном сайте муниципального образования «Городенский  сельсовет» Льговского  района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решение вступает в силу со дня его официального опубликования (обнародования)</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 депутатов</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О.Ю.Кургузов</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Врио главы Городенского сельсовета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В.М.Сотникова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Решению  Собрания депутатов  Городенского  сельсовета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от_____2022г_ №_______</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ОБ ОРГАНИЗАЦИИ  ДЕЯТЕЛЬНОСТИ  ОРГАНОВ  МЕСТНОГО САМОУПРАВЛЕНИЯ  МУНИЦИПАЛЬНОГО ОБРАЗОВАНИЯ «ГОРОДЕНСКИЙ  СЕЛЬ СОВЕТ» ЛЬГОВСКОГО  РАЙОНА                    </w:t>
      </w:r>
      <w:r>
        <w:rPr>
          <w:rFonts w:ascii="Tahoma" w:hAnsi="Tahoma" w:cs="Tahoma"/>
          <w:color w:val="000000"/>
          <w:sz w:val="14"/>
          <w:szCs w:val="14"/>
        </w:rPr>
        <w:t> </w:t>
      </w:r>
      <w:r>
        <w:rPr>
          <w:rStyle w:val="a4"/>
          <w:rFonts w:ascii="Tahoma" w:hAnsi="Tahoma" w:cs="Tahoma"/>
          <w:color w:val="000000"/>
          <w:sz w:val="14"/>
          <w:szCs w:val="14"/>
        </w:rPr>
        <w:t>КУРСКОЙ  ОБЛАСТИ ПО  ВЫЯВЛЕНИЮ  БЕСХОЗЯЙНОГО  НЕДВИЖИМОГО ИМУЩЕСТВА  И  ПРИНЯТИЮ ЕГО В МУНИЦИПАЛЬНУЮ СОБСТВЕННОСТЬ</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Настоящее Положение определяет порядок организации деятельности органов местного самоуправления муниципального образования «Городенский  сельсовет» Льговского  района  Курской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от физических и юридических лиц;</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от собственника объекта недвижимого имущества в форме заявления об отказе от права собственности на данный объект;</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результате проведения инвентаризации муниципального имущества муниципального образования;</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 результате проведения муниципального земельного контроля на территории муниципального образования;</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в иных случаях и формах, не запрещенных законодательством.</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К заявлению, указанному в </w:t>
      </w:r>
      <w:hyperlink r:id="rId4" w:history="1">
        <w:r>
          <w:rPr>
            <w:rStyle w:val="a5"/>
            <w:rFonts w:ascii="Tahoma" w:hAnsi="Tahoma" w:cs="Tahoma"/>
            <w:color w:val="33A6E3"/>
            <w:sz w:val="14"/>
            <w:szCs w:val="14"/>
            <w:u w:val="none"/>
          </w:rPr>
          <w:t>подпункте 3 пункта 4</w:t>
        </w:r>
      </w:hyperlink>
      <w:r>
        <w:rPr>
          <w:rFonts w:ascii="Tahoma" w:hAnsi="Tahoma" w:cs="Tahoma"/>
          <w:color w:val="000000"/>
          <w:sz w:val="14"/>
          <w:szCs w:val="14"/>
        </w:rPr>
        <w:t> настоящего Положения, прилагаются:</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На основании поступивших сведений, указанных в </w:t>
      </w:r>
      <w:hyperlink r:id="rId5" w:history="1">
        <w:r>
          <w:rPr>
            <w:rStyle w:val="a5"/>
            <w:rFonts w:ascii="Tahoma" w:hAnsi="Tahoma" w:cs="Tahoma"/>
            <w:color w:val="33A6E3"/>
            <w:sz w:val="14"/>
            <w:szCs w:val="14"/>
            <w:u w:val="none"/>
          </w:rPr>
          <w:t>пункте 4</w:t>
        </w:r>
      </w:hyperlink>
      <w:r>
        <w:rPr>
          <w:rFonts w:ascii="Tahoma" w:hAnsi="Tahoma" w:cs="Tahoma"/>
          <w:color w:val="000000"/>
          <w:sz w:val="14"/>
          <w:szCs w:val="14"/>
        </w:rPr>
        <w:t>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6" w:history="1">
        <w:r>
          <w:rPr>
            <w:rStyle w:val="a5"/>
            <w:rFonts w:ascii="Tahoma" w:hAnsi="Tahoma" w:cs="Tahoma"/>
            <w:color w:val="33A6E3"/>
            <w:sz w:val="14"/>
            <w:szCs w:val="14"/>
            <w:u w:val="none"/>
          </w:rPr>
          <w:t>закона</w:t>
        </w:r>
      </w:hyperlink>
      <w:r>
        <w:rPr>
          <w:rFonts w:ascii="Tahoma" w:hAnsi="Tahoma" w:cs="Tahoma"/>
          <w:color w:val="000000"/>
          <w:sz w:val="14"/>
          <w:szCs w:val="14"/>
        </w:rPr>
        <w:t>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Действия, указанные в </w:t>
      </w:r>
      <w:hyperlink r:id="rId7" w:history="1">
        <w:r>
          <w:rPr>
            <w:rStyle w:val="a5"/>
            <w:rFonts w:ascii="Tahoma" w:hAnsi="Tahoma" w:cs="Tahoma"/>
            <w:color w:val="33A6E3"/>
            <w:sz w:val="14"/>
            <w:szCs w:val="14"/>
            <w:u w:val="none"/>
          </w:rPr>
          <w:t>подпунктах 2</w:t>
        </w:r>
      </w:hyperlink>
      <w:r>
        <w:rPr>
          <w:rFonts w:ascii="Tahoma" w:hAnsi="Tahoma" w:cs="Tahoma"/>
          <w:color w:val="000000"/>
          <w:sz w:val="14"/>
          <w:szCs w:val="14"/>
        </w:rPr>
        <w:t>, </w:t>
      </w:r>
      <w:hyperlink r:id="rId8" w:history="1">
        <w:r>
          <w:rPr>
            <w:rStyle w:val="a5"/>
            <w:rFonts w:ascii="Tahoma" w:hAnsi="Tahoma" w:cs="Tahoma"/>
            <w:color w:val="33A6E3"/>
            <w:sz w:val="14"/>
            <w:szCs w:val="14"/>
            <w:u w:val="none"/>
          </w:rPr>
          <w:t>5</w:t>
        </w:r>
      </w:hyperlink>
      <w:r>
        <w:rPr>
          <w:rFonts w:ascii="Tahoma" w:hAnsi="Tahoma" w:cs="Tahoma"/>
          <w:color w:val="000000"/>
          <w:sz w:val="14"/>
          <w:szCs w:val="14"/>
        </w:rPr>
        <w:t> – </w:t>
      </w:r>
      <w:hyperlink r:id="rId9" w:history="1">
        <w:r>
          <w:rPr>
            <w:rStyle w:val="a5"/>
            <w:rFonts w:ascii="Tahoma" w:hAnsi="Tahoma" w:cs="Tahoma"/>
            <w:color w:val="33A6E3"/>
            <w:sz w:val="14"/>
            <w:szCs w:val="14"/>
            <w:u w:val="none"/>
          </w:rPr>
          <w:t>7 пункта 6</w:t>
        </w:r>
      </w:hyperlink>
      <w:r>
        <w:rPr>
          <w:rFonts w:ascii="Tahoma" w:hAnsi="Tahoma" w:cs="Tahoma"/>
          <w:color w:val="000000"/>
          <w:sz w:val="14"/>
          <w:szCs w:val="14"/>
        </w:rPr>
        <w:t>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Если в результате действий, указанных в </w:t>
      </w:r>
      <w:hyperlink r:id="rId10" w:history="1">
        <w:r>
          <w:rPr>
            <w:rStyle w:val="a5"/>
            <w:rFonts w:ascii="Tahoma" w:hAnsi="Tahoma" w:cs="Tahoma"/>
            <w:color w:val="33A6E3"/>
            <w:sz w:val="14"/>
            <w:szCs w:val="14"/>
            <w:u w:val="none"/>
          </w:rPr>
          <w:t>пункте 6</w:t>
        </w:r>
      </w:hyperlink>
      <w:r>
        <w:rPr>
          <w:rFonts w:ascii="Tahoma" w:hAnsi="Tahoma" w:cs="Tahoma"/>
          <w:color w:val="000000"/>
          <w:sz w:val="14"/>
          <w:szCs w:val="14"/>
        </w:rPr>
        <w:t>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Решение, указанное в </w:t>
      </w:r>
      <w:hyperlink r:id="rId11" w:history="1">
        <w:r>
          <w:rPr>
            <w:rStyle w:val="a5"/>
            <w:rFonts w:ascii="Tahoma" w:hAnsi="Tahoma" w:cs="Tahoma"/>
            <w:color w:val="33A6E3"/>
            <w:sz w:val="14"/>
            <w:szCs w:val="14"/>
            <w:u w:val="none"/>
          </w:rPr>
          <w:t>пункте 8</w:t>
        </w:r>
      </w:hyperlink>
      <w:r>
        <w:rPr>
          <w:rFonts w:ascii="Tahoma" w:hAnsi="Tahoma" w:cs="Tahoma"/>
          <w:color w:val="000000"/>
          <w:sz w:val="14"/>
          <w:szCs w:val="14"/>
        </w:rPr>
        <w:t>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2" w:history="1">
        <w:r>
          <w:rPr>
            <w:rStyle w:val="a5"/>
            <w:rFonts w:ascii="Tahoma" w:hAnsi="Tahoma" w:cs="Tahoma"/>
            <w:color w:val="33A6E3"/>
            <w:sz w:val="14"/>
            <w:szCs w:val="14"/>
            <w:u w:val="none"/>
          </w:rPr>
          <w:t>подпунктом 7 пункта 6</w:t>
        </w:r>
      </w:hyperlink>
      <w:r>
        <w:rPr>
          <w:rFonts w:ascii="Tahoma" w:hAnsi="Tahoma" w:cs="Tahoma"/>
          <w:color w:val="000000"/>
          <w:sz w:val="14"/>
          <w:szCs w:val="14"/>
        </w:rPr>
        <w:t> настоящего Положения.</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3" w:history="1">
        <w:r>
          <w:rPr>
            <w:rStyle w:val="a5"/>
            <w:rFonts w:ascii="Tahoma" w:hAnsi="Tahoma" w:cs="Tahoma"/>
            <w:color w:val="33A6E3"/>
            <w:sz w:val="14"/>
            <w:szCs w:val="14"/>
            <w:u w:val="none"/>
          </w:rPr>
          <w:t>пункте 8</w:t>
        </w:r>
      </w:hyperlink>
      <w:r>
        <w:rPr>
          <w:rFonts w:ascii="Tahoma" w:hAnsi="Tahoma" w:cs="Tahoma"/>
          <w:color w:val="000000"/>
          <w:sz w:val="14"/>
          <w:szCs w:val="14"/>
        </w:rPr>
        <w:t> настоящего Положения:</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обеспечивает подготовку документов, необходимых для постановки на учет бесхозяйных недвижимых вещей;</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направляет заявление о постановке на учет бесхозяйных недвижимых вещей и документы, указанные в </w:t>
      </w:r>
      <w:hyperlink r:id="rId14" w:history="1">
        <w:r>
          <w:rPr>
            <w:rStyle w:val="a5"/>
            <w:rFonts w:ascii="Tahoma" w:hAnsi="Tahoma" w:cs="Tahoma"/>
            <w:color w:val="33A6E3"/>
            <w:sz w:val="14"/>
            <w:szCs w:val="14"/>
            <w:u w:val="none"/>
          </w:rPr>
          <w:t>подпункте 1</w:t>
        </w:r>
      </w:hyperlink>
      <w:r>
        <w:rPr>
          <w:rFonts w:ascii="Tahoma" w:hAnsi="Tahoma" w:cs="Tahoma"/>
          <w:color w:val="000000"/>
          <w:sz w:val="14"/>
          <w:szCs w:val="14"/>
        </w:rPr>
        <w:t> настоящего пункта, в орган регистрации прав в соответствии с законодательством.</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осуществляет действия в целях государственной регистрации права муниципальной собственности на объект недвижимого имущества;</w:t>
      </w:r>
    </w:p>
    <w:p w:rsidR="00695A12" w:rsidRDefault="00695A12" w:rsidP="00695A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695A12"/>
    <w:rsid w:val="00560C54"/>
    <w:rsid w:val="00695A12"/>
    <w:rsid w:val="00FC1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5A12"/>
    <w:rPr>
      <w:b/>
      <w:bCs/>
    </w:rPr>
  </w:style>
  <w:style w:type="character" w:styleId="a5">
    <w:name w:val="Hyperlink"/>
    <w:basedOn w:val="a0"/>
    <w:uiPriority w:val="99"/>
    <w:semiHidden/>
    <w:unhideWhenUsed/>
    <w:rsid w:val="00695A12"/>
    <w:rPr>
      <w:color w:val="0000FF"/>
      <w:u w:val="single"/>
    </w:rPr>
  </w:style>
</w:styles>
</file>

<file path=word/webSettings.xml><?xml version="1.0" encoding="utf-8"?>
<w:webSettings xmlns:r="http://schemas.openxmlformats.org/officeDocument/2006/relationships" xmlns:w="http://schemas.openxmlformats.org/wordprocessingml/2006/main">
  <w:divs>
    <w:div w:id="16230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30&amp;field=134"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2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LAW&amp;n=201820" TargetMode="External"/><Relationship Id="rId11" Type="http://schemas.openxmlformats.org/officeDocument/2006/relationships/hyperlink" Target="http://consultant.op.ru/region/cgi/online.cgi?req=doc&amp;rnd=36FF183B66FD72470556B32D912F5CE3&amp;base=RLAW206&amp;n=60976&amp;dst=100034&amp;field=134" TargetMode="External"/><Relationship Id="rId5" Type="http://schemas.openxmlformats.org/officeDocument/2006/relationships/hyperlink" Target="http://consultant.op.ru/region/cgi/online.cgi?req=doc&amp;rnd=36FF183B66FD72470556B32D912F5CE3&amp;base=RLAW206&amp;n=60976&amp;dst=100014&amp;field=134" TargetMode="External"/><Relationship Id="rId15" Type="http://schemas.openxmlformats.org/officeDocument/2006/relationships/fontTable" Target="fontTable.xml"/><Relationship Id="rId10" Type="http://schemas.openxmlformats.org/officeDocument/2006/relationships/hyperlink" Target="http://consultant.op.ru/region/cgi/online.cgi?req=doc&amp;rnd=36FF183B66FD72470556B32D912F5CE3&amp;base=RLAW206&amp;n=60976&amp;dst=100025&amp;field=134" TargetMode="External"/><Relationship Id="rId4" Type="http://schemas.openxmlformats.org/officeDocument/2006/relationships/hyperlink" Target="http://consultant.op.ru/region/cgi/online.cgi?req=doc&amp;rnd=36FF183B66FD72470556B32D912F5CE3&amp;base=RLAW206&amp;n=60976&amp;dst=100017&amp;field=134" TargetMode="External"/><Relationship Id="rId9" Type="http://schemas.openxmlformats.org/officeDocument/2006/relationships/hyperlink" Target="http://consultant.op.ru/region/cgi/online.cgi?req=doc&amp;rnd=36FF183B66FD72470556B32D912F5CE3&amp;base=RLAW206&amp;n=60976&amp;dst=100032&amp;field=134" TargetMode="External"/><Relationship Id="rId14" Type="http://schemas.openxmlformats.org/officeDocument/2006/relationships/hyperlink" Target="http://consultant.op.ru/region/cgi/online.cgi?req=doc&amp;rnd=36FF183B66FD72470556B32D912F5CE3&amp;base=RLAW206&amp;n=60976&amp;dst=1000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10129</Characters>
  <Application>Microsoft Office Word</Application>
  <DocSecurity>0</DocSecurity>
  <Lines>84</Lines>
  <Paragraphs>23</Paragraphs>
  <ScaleCrop>false</ScaleCrop>
  <Company>SPecialiST RePack</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2023-07-27T09:26:00Z</dcterms:created>
  <dcterms:modified xsi:type="dcterms:W3CDTF">2023-07-27T09:26:00Z</dcterms:modified>
</cp:coreProperties>
</file>