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СОБРАНИЕ депутатов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Третьего созыва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РЕШЕНИЕ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03 марта   2023   г.   № 108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внесении изменений в решение собрания депутатов Городенского  сельсовета Льговского района от 16 ноября 2021 г.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На основании Протеста Льговского межрайонного прокурора           от 31.01.2022г. № 22-2023 г.,  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 Правительства Российской Федерации от 12.08.2002 №584 «Об утверждении Положения   о  проведении  конкурса   по   продаже государственного  или   муниципального 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Уставом  муниципального образования «Городенский сельсовет» Льговского района Курской области,  Собрание депутатов Городенского сельсовета Льговского района   Решило: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1.Внести изменений в Решение Собрания депутатов Городенского сельсовета Льговского района от</w:t>
      </w:r>
      <w:r>
        <w:rPr>
          <w:rStyle w:val="a4"/>
          <w:rFonts w:ascii="Tahoma" w:hAnsi="Tahoma" w:cs="Tahoma"/>
          <w:color w:val="000000"/>
          <w:sz w:val="25"/>
          <w:szCs w:val="25"/>
        </w:rPr>
        <w:t>  </w:t>
      </w:r>
      <w:r>
        <w:rPr>
          <w:rFonts w:ascii="Tahoma" w:hAnsi="Tahoma" w:cs="Tahoma"/>
          <w:color w:val="000000"/>
          <w:sz w:val="25"/>
          <w:szCs w:val="25"/>
        </w:rPr>
        <w:t>16 ноября 2021 г.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области». 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П. 7.2. изложить в новой редакции: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7.2. В соответствии с утвержденной собранием депутатов Городенского сельсовета Льговского района Программой приватизации постановление Администрации Городенского сельсовета Льговского района об условиях приватизации муниципального имущества должно содержать: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 наименование имущества и иные позволяющие его индивидуализировать данные (характеристика имущества);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2)  способ приватизации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3)  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4" w:anchor="dst27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абзацем шестнадцатым пункта 1 статьи 6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Федерального закона;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4) срок рассрочки платежа (в случае ее предоставления);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5) иные необходимые для приватизации имущества сведения.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состав подлежащего приватизации имущественного комплекса унитарного предприятия, определенный в соответствии со </w:t>
      </w:r>
      <w:hyperlink r:id="rId5" w:anchor="dst100079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статьей 11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Федерального закона;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П. 8.2. изложить в новой редакции: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3) </w:t>
      </w:r>
      <w:hyperlink r:id="rId6" w:anchor="dst100093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способ</w:t>
        </w:r>
      </w:hyperlink>
      <w:r>
        <w:rPr>
          <w:rFonts w:ascii="Tahoma" w:hAnsi="Tahoma" w:cs="Tahoma"/>
          <w:color w:val="000000"/>
          <w:sz w:val="25"/>
          <w:szCs w:val="25"/>
        </w:rPr>
        <w:t> приватизации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4) начальная цена продажи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5) форма подачи предложений о цене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6) условия и сроки платежа, необходимые реквизиты счетов;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7) размер задатка, срок и порядок его внесения, необходимые реквизиты счетов;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8) порядок, место, даты начала и окончания подачи заявок, предложений;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9) исчерпывающий перечень представляемых участниками торгов документов и требования к их оформлению;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10) срок заключения договора купли-продажи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14) место и срок подведения итогов продажи государственного или муниципального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15)  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16) размер и порядок выплаты вознаграждения юридическому лицу, которое в соответствии с </w:t>
      </w:r>
      <w:hyperlink r:id="rId7" w:anchor="dst578" w:history="1">
        <w:r>
          <w:rPr>
            <w:rStyle w:val="a5"/>
            <w:rFonts w:ascii="Tahoma" w:hAnsi="Tahoma" w:cs="Tahoma"/>
            <w:color w:val="33A6E3"/>
            <w:sz w:val="25"/>
            <w:szCs w:val="25"/>
            <w:u w:val="none"/>
          </w:rPr>
          <w:t>подпунктом 8.1 пункта 1 статьи 6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Разместить в сети «Интернет» на  сайте Администрации Городенского сельсовета Льговского  района.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Решение вступает в силу со дня его опубликования.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Председатель Собрания депутатов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                                                            О.Ю. Кургузов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027C9D" w:rsidRDefault="00027C9D" w:rsidP="00027C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27C9D"/>
    <w:rsid w:val="00027C9D"/>
    <w:rsid w:val="003555CC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9D"/>
    <w:rPr>
      <w:b/>
      <w:bCs/>
    </w:rPr>
  </w:style>
  <w:style w:type="character" w:styleId="a5">
    <w:name w:val="Hyperlink"/>
    <w:basedOn w:val="a0"/>
    <w:uiPriority w:val="99"/>
    <w:semiHidden/>
    <w:unhideWhenUsed/>
    <w:rsid w:val="00027C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245/f7162b65bba1aa84cd589598ae2ba0c6a16bf0b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422245/cdc12fc869f5c52399f1324abea7d940838b546c/" TargetMode="External"/><Relationship Id="rId4" Type="http://schemas.openxmlformats.org/officeDocument/2006/relationships/hyperlink" Target="http://www.consultant.ru/document/cons_doc_LAW_422245/f7162b65bba1aa84cd589598ae2ba0c6a16bf0b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2023-07-27T07:24:00Z</dcterms:created>
  <dcterms:modified xsi:type="dcterms:W3CDTF">2023-07-27T07:24:00Z</dcterms:modified>
</cp:coreProperties>
</file>