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РОССИЙСКАЯ   ФЕДЕРАЦИЯ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  ГОРОДЕНСКОГО СЕЛЬСОВЕТА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 КУРСКОЙ ОБЛАСТИ</w:t>
      </w: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28.08.2020г № 28-р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Порядка проведения мониторинга качества финансового менеджмента в отношении главного администратора средств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бюджета МО «Городенский сельсовет» Льговского района Курской области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160.2-1 Бюджетного кодекса Российской Федерации: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Порядок проведения мониторинга качества финансового менеджмента в отношении главного администратора средств бюджета МО «Городенский сельсовет» Льговского района Курской области (далее - Порядок).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Администрация Городенского сельсовета Льговского района Курской области проводить ежегодно мониторинг качества финансового менеджмента в соответствии с Порядком, начиная с годового отчета за 2020 год.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исполнением настоящего распоряжения возложить на начальника отдела администрации В.И. Горину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Распоряжение вступает в силу со дня его подписания и подлежит опубликованию на официальном сайте Администрации Городенского сельсовета Льговского района Курской области в информационно-телекоммуникационной сети «Интернет».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Главы Городенского сельсовета                                             А.М.Сенаторов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распоряжением Администрации                Городенского сельсовета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28.08.2020 № 28-р</w:t>
      </w: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проведения мониторинга качества финансового менеджмента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отношении главного администратора средств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бюджета МО «Городенский сельсовет» Льговского района Курской области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Общие положения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Мониторинг качества финансового менеджмента проводится Администрацией Городенского сельсовета Льговского района Курской области в отношении главного администратора средств бюджета поселка и определяет правила расчета и анализа значений   показателей   качества   финансового   менеджмента,    формирования  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Непосредственное осуществление мониторинга качества финансового менеджмента осуществляется главным специалистом Администрации Городенского сельсовета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  информации, представляемой главными администраторами средств бюджета в отдел по финансово-экономическим вопросам, а также на основании общедоступных  сведений.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 Годовой   мониторинг   качества финансового   менеджмента   за отчетный финансовый год проводится на основании источников   информации с учетом результатов внешней проверки годовой бюджетной отчетности  главного администратора средств бюджета в срок до 01 июня года, следующего за отчетным.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II.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С использованием данных из источников информации рассчитывает по главному администратору средств бюджета итоговую оценку качества   финансового   менеджмента.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Главный специалист-эксперт проводит оценку качества финансового менеджмента по форме согласно </w:t>
      </w:r>
      <w:hyperlink r:id="rId4" w:anchor="P86" w:history="1">
        <w:r w:rsidRPr="00D17DBC">
          <w:rPr>
            <w:rFonts w:ascii="Tahoma" w:eastAsia="Times New Roman" w:hAnsi="Tahoma" w:cs="Tahoma"/>
            <w:color w:val="33A6E3"/>
            <w:sz w:val="14"/>
            <w:lang w:eastAsia="ru-RU"/>
          </w:rPr>
          <w:t>приложению №1</w:t>
        </w:r>
      </w:hyperlink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настоящему Порядку с использованием данных по форме </w:t>
      </w:r>
      <w:hyperlink r:id="rId5" w:anchor="P423" w:history="1">
        <w:r w:rsidRPr="00D17DBC">
          <w:rPr>
            <w:rFonts w:ascii="Tahoma" w:eastAsia="Times New Roman" w:hAnsi="Tahoma" w:cs="Tahoma"/>
            <w:color w:val="33A6E3"/>
            <w:sz w:val="14"/>
            <w:lang w:eastAsia="ru-RU"/>
          </w:rPr>
          <w:t>приложения №2</w:t>
        </w:r>
      </w:hyperlink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настоящему Порядку.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3. </w:t>
      </w:r>
      <w:hyperlink r:id="rId6" w:anchor="P86" w:history="1">
        <w:r w:rsidRPr="00D17DBC">
          <w:rPr>
            <w:rFonts w:ascii="Tahoma" w:eastAsia="Times New Roman" w:hAnsi="Tahoma" w:cs="Tahoma"/>
            <w:color w:val="33A6E3"/>
            <w:sz w:val="14"/>
            <w:lang w:eastAsia="ru-RU"/>
          </w:rPr>
          <w:t>Показатели</w:t>
        </w:r>
      </w:hyperlink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 каждому пункту приложения №2 к настоящему Порядку группируются (сортируются) по нарастанию.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Главному администратору бюджетных средств присваивается количество баллов, равное значению уровня ГАБС по показателям.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Присвоенные баллы по пунктам </w:t>
      </w:r>
      <w:hyperlink r:id="rId7" w:anchor="P86" w:history="1">
        <w:r w:rsidRPr="00D17DBC">
          <w:rPr>
            <w:rFonts w:ascii="Tahoma" w:eastAsia="Times New Roman" w:hAnsi="Tahoma" w:cs="Tahoma"/>
            <w:color w:val="33A6E3"/>
            <w:sz w:val="14"/>
            <w:lang w:eastAsia="ru-RU"/>
          </w:rPr>
          <w:t>приложения №1</w:t>
        </w:r>
      </w:hyperlink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III.     Правила формирования и представления отчета о результатах мониторинга качества финансового менеджмента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</w:t>
      </w:r>
      <w:hyperlink r:id="rId8" w:anchor="P890" w:history="1">
        <w:r w:rsidRPr="00D17DBC">
          <w:rPr>
            <w:rFonts w:ascii="Tahoma" w:eastAsia="Times New Roman" w:hAnsi="Tahoma" w:cs="Tahoma"/>
            <w:color w:val="33A6E3"/>
            <w:sz w:val="14"/>
            <w:lang w:eastAsia="ru-RU"/>
          </w:rPr>
          <w:t>Отчет</w:t>
        </w:r>
      </w:hyperlink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 результатах мониторинга качества финансового менеджмента, осуществляемого главным администратором бюджетных средств, оформляется в соответствии с приложением №3 к настоящему Порядку (далее - отчет).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Результаты оценки мониторинга доводятся до главного администратора бюджетных средств в электронном виде и размещаются на официальном сайте Администрации Городенского сельсовета Льговского района Курской области в течение 2 месяцев после даты представления в отдел учета сведений, используемых для проведения мониторинга.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 проведения мониторинга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качества финансового менеджмента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отношении главного администратора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средств бюджета МО «Городенский сельсовет                 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района Курской области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Показатели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мониторинга качества финансового менеджмента,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осуществляемого главными администратором бюджетных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 средств бюджета МО «Городенский сельсовет Льговского района Курской области по итогам отчетного финансового года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42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00"/>
        <w:gridCol w:w="4549"/>
        <w:gridCol w:w="160"/>
        <w:gridCol w:w="1277"/>
        <w:gridCol w:w="282"/>
        <w:gridCol w:w="1420"/>
        <w:gridCol w:w="3838"/>
      </w:tblGrid>
      <w:tr w:rsidR="00D17DBC" w:rsidRPr="00D17DBC" w:rsidTr="00D17DB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Расчет показателя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Оценка,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Комментарий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Финансовое планирование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1.1Полнота информации о расходных обязательствах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 = 100 x Nотс / N, где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Nотс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коды классификации расходов, по которым предусмотрены ассигнования на исполнение расходного обязательства;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Уровень показателя: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Про=0;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0&lt;Про&lt;=15%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Про&gt;15%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Дпр = 100 x (Бцп / Бр), где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Бцп - сумма бюджетных ассигнований ГАБС представленных в виде муниципальных программ;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Бр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Дпр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Позитивно расценивается высокая доля бюджетных ассигнований ГАБС в отчетном финансовом году, утвержденных решением о бюджете, представленных в виде муниципальных программ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Дпр &gt; 90%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Дпр  &lt; 90%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Исполнение бюджета в части расходов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Кмбт = 100 x (Ембт / Бмбт), где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Ембт - кассовое исполнение расходов за счет межбюджетных трансфертов ГАБС за отчетный финансовый год;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Бмбт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Кмбт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 характеризует уровень кассового исполнения расходов 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Кмбт = 100%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Кмбт  &gt; 90%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Кмбт &lt; 90%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 = 100 x (Ер / ПОФр), где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ПОФр - сумма предельных объемов финансирования ГАБС за отчетный финансовый год, кроме муниципальных программ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  равное более 95%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 &gt; 95%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 &lt;= 95%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 Качество прогнозирования кассовых расходов по программам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Пцп = 100 x (Еп / ПОФцп), где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Еп - кассовое исполнение программ ГАБС за отчетный финансовый год;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ПОФцп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Пцп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 &gt; 95%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 &lt;= 95%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 Исполнение бюджета в части доходов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3.1 Полнота зачисления платежей в бюджет по ГАБС, объем невыясненных поступлений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Негативным считается факт наличия невыясненных поступлений в бюджет по ГАБС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Наличие невыясненных поступлений на конец отчетного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 Отклонение кассового исполнения по доходам от прогноза по ГАБС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 = 100 x (1 - (Ди / Дп)), где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 - кассовое исполнение по доходам по ГАБС за отчетный финансовый год;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Дп - уточненный прогноз поступлений доходов для ГАБС за отчетный финансовый год.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Уровень показателя: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Негативно расценивается как недовыполнение, так и значительное перевыполнение в отчетном 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Од&lt;=10%;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Од&gt;10%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Эд = 100 x (Деб / Ди), где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Деб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 - кассовое исполнение по доходам по ГАБС за отчетный финансовый год.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Уровень показателя: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Эд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Эд=0;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- 0&lt;Эд&lt;=10%;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Эд&gt;10%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Примечание: в случае наличия дебиторской задолженности и отсутствия исполнения по доходам ГАБС присваивается ноль баллов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 Качество управления активами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 Недостачи и хищения денежных средств и материальных ценностей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Отсутствие недостач и хищений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Наличие сумм установленных 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Наличие недостач и хищений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 Нарушения при управлении   и распоряжении муниципальной собственностью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Отсутствие нарушений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Негативно расценивается наличие фактов нарушений   при управлении  и распоряжении муниципальной собственностью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Наличие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 Контроль за правомерностью использования средств бюджета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1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 / нет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Контроль за результативностью использования бюджетных средств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 Выявленные органом внешнего муниципального контроля нарушения, в том числе по результатам внешней проверки годовой бюджетной отчетности главного администратора средств бюджета</w:t>
            </w:r>
          </w:p>
        </w:tc>
        <w:tc>
          <w:tcPr>
            <w:tcW w:w="1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Наличие нарушений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Контроль за правомерностью использования бюджетных средств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Отсутствие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 Качество оуществления закупок товаров, работ, услуг для обеспечения муниципальных нужд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6.1 Выявленные органами контроля нарушения в сфере закупок для муниципальных нужд, осуществляемых ГАБС</w:t>
            </w:r>
          </w:p>
        </w:tc>
        <w:tc>
          <w:tcPr>
            <w:tcW w:w="1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Отсутствие нарушений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Целевым ориентиром является отсутствие выявленных органами контроля нарушений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Наличие нарушений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6.2 Использование конкурентных способов закупок товаров, работ, услуг ГАБС, экономия средств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7DBC" w:rsidRPr="00D17DBC" w:rsidTr="00D17DBC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 проведения мониторинга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качества финансового менеджмента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отношении главного администратора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средств бюджета МО «Городенский сельсовет» Льговского района Курской области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Сведения,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используемые для расчета показателей качества финансового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менеджмента, осуществляемого главным администратором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 бюджетных средств  бюджета МО «Городенский сельсовет                 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района Курской области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ГАБС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Периодичность: годовая на _____________________ 20__ г.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(отсутствие) муниципальных учреждений _______ (количество), в том числе: казенных _______ (количество),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бюджетных ________ (количество),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автономных ________ (количество).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Финансовое планирование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Полнота информации о расходных обязательствах: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59"/>
        <w:gridCol w:w="2720"/>
        <w:gridCol w:w="2409"/>
      </w:tblGrid>
      <w:tr w:rsidR="00D17DBC" w:rsidRPr="00D17DBC" w:rsidTr="00D17DB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Показатель: полнота информации о расходных обязательствах (Про), %.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(100 x (гр1 / гр2))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--------------------------------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 Информация, используемая при оценке полноты оформления расходных обязательств: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реквизиты;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Доля бюджетных ассигнований, представленных в программном виде: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6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12"/>
        <w:gridCol w:w="2856"/>
        <w:gridCol w:w="2376"/>
      </w:tblGrid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Показатель: доля бюджетных ассигнований в программном виде (Дпр), %. (100 x (гр1 / гр2))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Исполнение бюджета в части расходов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Уровень исполнения расходов за счет межбюджетных трансфертов: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12"/>
        <w:gridCol w:w="2856"/>
        <w:gridCol w:w="2412"/>
      </w:tblGrid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Показатель: Уровень исполнения расходов за счет межбюджетных трансфертов (Кмбт), % .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(100 x (гр1 / гр2))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Качество прогнозирования кассовых расходов, кроме муниципальных программ: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12"/>
        <w:gridCol w:w="2856"/>
        <w:gridCol w:w="2412"/>
      </w:tblGrid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Показатель: уровень кассового прогнозирования расходов ГАБС, кроме программ (Пр), %.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(100 x (гр1 / гр2))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Качество прогнозирования кассовых расходов по программам: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12"/>
        <w:gridCol w:w="2856"/>
        <w:gridCol w:w="2412"/>
      </w:tblGrid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Показатель: уровень кассового прогнозирования программ ГАБС (Пцп), %.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(100 x (гр1 / гр2))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Исполнение бюджета в части доходов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Полнота зачисления платежей в бюджет МО «Городенский сельсовет» Льговского района Курской области по ГАБС, объем невыясненных поступлений: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40"/>
        <w:gridCol w:w="2412"/>
      </w:tblGrid>
      <w:tr w:rsidR="00D17DBC" w:rsidRPr="00D17DBC" w:rsidTr="00D17DBC">
        <w:trPr>
          <w:tblCellSpacing w:w="0" w:type="dxa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поступлений по зачисляемым платежам в бюджет, отнесенных на невыясненные поступления за отчетный финансовый год (тыс. рублей)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Показатель: наличие / отсутствие невыясненных поступлений ГРБС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Отклонение кассового исполнения по доходам от прогноза по ГАБС: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12"/>
        <w:gridCol w:w="2856"/>
        <w:gridCol w:w="2412"/>
      </w:tblGrid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Показатель: отклонение доходов (Од), %.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(100 x (1 - (гр1 / гр2))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 Эффективность управления дебиторской задолженностью по расчетам с дебиторами по доходам: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72"/>
        <w:gridCol w:w="2412"/>
        <w:gridCol w:w="2412"/>
      </w:tblGrid>
      <w:tr w:rsidR="00D17DBC" w:rsidRPr="00D17DBC" w:rsidTr="00D17DBC">
        <w:trPr>
          <w:tblCellSpacing w:w="0" w:type="dxa"/>
        </w:trPr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Показатель: эффективность управления дебиторской задолженностью ГРБС (Эд), %.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(100 x (гр1 / гр2))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Качество управления активами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Недостачи и хищения денежных средств и материальных ценностей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Отсутствие недостач ___________(да/нет)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недостач ____________ (пояснения)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Нарушения при управлении и распоряжении муниципальной собственностью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Отсутствие нарушений ___________(да/нет)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нарушений ____________ (пояснения)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Контроль за правомерностью использования бюджетных средств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88"/>
        <w:gridCol w:w="1044"/>
        <w:gridCol w:w="1128"/>
        <w:gridCol w:w="840"/>
        <w:gridCol w:w="840"/>
        <w:gridCol w:w="1476"/>
        <w:gridCol w:w="1248"/>
      </w:tblGrid>
      <w:tr w:rsidR="00D17DBC" w:rsidRPr="00D17DBC" w:rsidTr="00D17DBC">
        <w:trPr>
          <w:tblCellSpacing w:w="0" w:type="dxa"/>
        </w:trPr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Порядковый номер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документа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Принявший орган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вступления в силу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действия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главного администратора средств бюджета.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Указывается краткая характеристика нарушений (при наличии), сумма выявленных нарушений, тыс. рублей.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Качество осуществления закупок товаров, работ, услуг для обеспечения муниципальных нужд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6.1. Выявленные органами контроля нарушения в сфере закупок для муниципальных нужд, осуществляемых ГАБС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88"/>
        <w:gridCol w:w="1044"/>
        <w:gridCol w:w="1128"/>
        <w:gridCol w:w="840"/>
        <w:gridCol w:w="840"/>
        <w:gridCol w:w="2724"/>
      </w:tblGrid>
      <w:tr w:rsidR="00D17DBC" w:rsidRPr="00D17DBC" w:rsidTr="00D17DBC">
        <w:trPr>
          <w:tblCellSpacing w:w="0" w:type="dxa"/>
        </w:trPr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Порядковый номер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документа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Принявший орган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Краткий обзор выявленных нарушений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6.2. Использование конкурентных способов закупок товаров, работ, услуг ГАБС, экономия средств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Количество проведенных торгов____ (единиц)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Общая сумма экономии бюджетных средств _____ (тыс. рублей)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3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 проведения мониторинга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качества финансового менеджмента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отношении главного администратора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средств бюджета МО «Городенский сельсовет» Льговского района Курской области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Отчет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результатах мониторинга качества финансового менеджмента в отношении главного администратора средств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МО «Городенский сельсовет» Льговского района Курской области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Периодичность годовая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20__ год.</w:t>
      </w:r>
    </w:p>
    <w:p w:rsidR="00D17DBC" w:rsidRPr="00D17DBC" w:rsidRDefault="00D17DBC" w:rsidP="00D17D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D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6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4"/>
        <w:gridCol w:w="2104"/>
        <w:gridCol w:w="1330"/>
        <w:gridCol w:w="1342"/>
        <w:gridCol w:w="514"/>
        <w:gridCol w:w="1045"/>
        <w:gridCol w:w="1205"/>
        <w:gridCol w:w="160"/>
        <w:gridCol w:w="3274"/>
        <w:gridCol w:w="160"/>
      </w:tblGrid>
      <w:tr w:rsidR="00D17DBC" w:rsidRPr="00D17DBC" w:rsidTr="00D17DBC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ГАБС средств бюджета</w:t>
            </w:r>
          </w:p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</w:t>
            </w:r>
          </w:p>
        </w:tc>
        <w:tc>
          <w:tcPr>
            <w:tcW w:w="27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 </w:t>
            </w:r>
            <w:hyperlink r:id="rId9" w:anchor="P441" w:history="1">
              <w:r w:rsidRPr="00D17DBC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(1.1)</w:t>
              </w:r>
            </w:hyperlink>
          </w:p>
        </w:tc>
        <w:tc>
          <w:tcPr>
            <w:tcW w:w="5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2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 </w:t>
            </w:r>
            <w:hyperlink r:id="rId10" w:anchor="P866" w:history="1">
              <w:r w:rsidRPr="00D17DBC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(6.2)</w:t>
              </w:r>
            </w:hyperlink>
          </w:p>
        </w:tc>
        <w:tc>
          <w:tcPr>
            <w:tcW w:w="3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 по главному администратору бюджетных средств ,баллов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баллов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баллов</w:t>
            </w:r>
          </w:p>
        </w:tc>
        <w:tc>
          <w:tcPr>
            <w:tcW w:w="3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26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Средний показатель по бюджету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17DBC" w:rsidRPr="00D17DBC" w:rsidTr="00D17DBC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17DBC" w:rsidRPr="00D17DBC" w:rsidRDefault="00D17DBC" w:rsidP="00D17D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D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DBC" w:rsidRPr="00D17DBC" w:rsidRDefault="00D17DBC" w:rsidP="00D1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17DBC"/>
    <w:rsid w:val="0053147A"/>
    <w:rsid w:val="00560C54"/>
    <w:rsid w:val="00D1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DBC"/>
    <w:rPr>
      <w:b/>
      <w:bCs/>
    </w:rPr>
  </w:style>
  <w:style w:type="character" w:styleId="a5">
    <w:name w:val="Hyperlink"/>
    <w:basedOn w:val="a0"/>
    <w:uiPriority w:val="99"/>
    <w:semiHidden/>
    <w:unhideWhenUsed/>
    <w:rsid w:val="00D17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A0.%E2%84%9628-%D1%80%20%D0%BE%D1%8228.08..2020%D0%B3._%D0%BC%D0%BE%D0%BD%D0%B8%D1%82%D0%BE%D1%80%D0%B8%D0%BD%D0%B3_%D0%BC%D0%B5%D0%BD%D0%B5%D0%B4%D0%B6%D0%BC%D0%B5%D0%BD%D1%8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A0.%E2%84%9628-%D1%80%20%D0%BE%D1%8228.08..2020%D0%B3._%D0%BC%D0%BE%D0%BD%D0%B8%D1%82%D0%BE%D1%80%D0%B8%D0%BD%D0%B3_%D0%BC%D0%B5%D0%BD%D0%B5%D0%B4%D0%B6%D0%BC%D0%B5%D0%BD%D1%82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A0.%E2%84%9628-%D1%80%20%D0%BE%D1%8228.08..2020%D0%B3._%D0%BC%D0%BE%D0%BD%D0%B8%D1%82%D0%BE%D1%80%D0%B8%D0%BD%D0%B3_%D0%BC%D0%B5%D0%BD%D0%B5%D0%B4%D0%B6%D0%BC%D0%B5%D0%BD%D1%82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Eduard\Downloads\%D0%A0.%E2%84%9628-%D1%80%20%D0%BE%D1%8228.08..2020%D0%B3._%D0%BC%D0%BE%D0%BD%D0%B8%D1%82%D0%BE%D1%80%D0%B8%D0%BD%D0%B3_%D0%BC%D0%B5%D0%BD%D0%B5%D0%B4%D0%B6%D0%BC%D0%B5%D0%BD%D1%82.doc" TargetMode="External"/><Relationship Id="rId10" Type="http://schemas.openxmlformats.org/officeDocument/2006/relationships/hyperlink" Target="file:///C:\Users\Eduard\Downloads\%D0%A0.%E2%84%9628-%D1%80%20%D0%BE%D1%8228.08..2020%D0%B3._%D0%BC%D0%BE%D0%BD%D0%B8%D1%82%D0%BE%D1%80%D0%B8%D0%BD%D0%B3_%D0%BC%D0%B5%D0%BD%D0%B5%D0%B4%D0%B6%D0%BC%D0%B5%D0%BD%D1%82.doc" TargetMode="External"/><Relationship Id="rId4" Type="http://schemas.openxmlformats.org/officeDocument/2006/relationships/hyperlink" Target="file:///C:\Users\Eduard\Downloads\%D0%A0.%E2%84%9628-%D1%80%20%D0%BE%D1%8228.08..2020%D0%B3._%D0%BC%D0%BE%D0%BD%D0%B8%D1%82%D0%BE%D1%80%D0%B8%D0%BD%D0%B3_%D0%BC%D0%B5%D0%BD%D0%B5%D0%B4%D0%B6%D0%BC%D0%B5%D0%BD%D1%82.doc" TargetMode="External"/><Relationship Id="rId9" Type="http://schemas.openxmlformats.org/officeDocument/2006/relationships/hyperlink" Target="file:///C:\Users\Eduard\Downloads\%D0%A0.%E2%84%9628-%D1%80%20%D0%BE%D1%8228.08..2020%D0%B3._%D0%BC%D0%BE%D0%BD%D0%B8%D1%82%D0%BE%D1%80%D0%B8%D0%BD%D0%B3_%D0%BC%D0%B5%D0%BD%D0%B5%D0%B4%D0%B6%D0%BC%D0%B5%D0%BD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17758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2023-07-28T07:08:00Z</dcterms:created>
  <dcterms:modified xsi:type="dcterms:W3CDTF">2023-07-28T07:08:00Z</dcterms:modified>
</cp:coreProperties>
</file>