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АДМИНИСТРАЦИЯ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ГОРОДЕНСКОГО СЕЛЬСОВЕТА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ЛЬГОВСКОГО РАЙОНА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ПОСТАНОВЛЕНИЕ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u w:val="single"/>
          <w:lang w:eastAsia="ru-RU"/>
        </w:rPr>
        <w:t>от 09.06.2020 г. № 29</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Об утверждении Порядка предоставления грантов в форме субсидий,</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в том числе предоставляемых на конкурсной основе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В соответствии с </w:t>
      </w:r>
      <w:hyperlink r:id="rId5" w:history="1">
        <w:r w:rsidRPr="004D71FA">
          <w:rPr>
            <w:rFonts w:ascii="Tahoma" w:eastAsia="Times New Roman" w:hAnsi="Tahoma" w:cs="Tahoma"/>
            <w:color w:val="33A6E3"/>
            <w:sz w:val="14"/>
            <w:lang w:eastAsia="ru-RU"/>
          </w:rPr>
          <w:t>пунктом 7 статьи 78</w:t>
        </w:r>
      </w:hyperlink>
      <w:r w:rsidRPr="004D71FA">
        <w:rPr>
          <w:rFonts w:ascii="Tahoma" w:eastAsia="Times New Roman" w:hAnsi="Tahoma" w:cs="Tahoma"/>
          <w:color w:val="000000"/>
          <w:sz w:val="14"/>
          <w:szCs w:val="14"/>
          <w:lang w:eastAsia="ru-RU"/>
        </w:rPr>
        <w:t> и </w:t>
      </w:r>
      <w:hyperlink r:id="rId6" w:history="1">
        <w:r w:rsidRPr="004D71FA">
          <w:rPr>
            <w:rFonts w:ascii="Tahoma" w:eastAsia="Times New Roman" w:hAnsi="Tahoma" w:cs="Tahoma"/>
            <w:color w:val="33A6E3"/>
            <w:sz w:val="14"/>
            <w:lang w:eastAsia="ru-RU"/>
          </w:rPr>
          <w:t>пунктом 4 статьи 78.1 Бюджетного кодекса Российской Федерации</w:t>
        </w:r>
      </w:hyperlink>
      <w:r w:rsidRPr="004D71FA">
        <w:rPr>
          <w:rFonts w:ascii="Tahoma" w:eastAsia="Times New Roman" w:hAnsi="Tahoma" w:cs="Tahoma"/>
          <w:color w:val="000000"/>
          <w:sz w:val="14"/>
          <w:szCs w:val="14"/>
          <w:lang w:eastAsia="ru-RU"/>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Уставом Городенского сельсовета Льговского района Курской области,  Администрация Городенского сельсовета Льговского района ПОСТАНОВЛЯЕТ: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 Утвердить Порядок предоставления грантов в форме субсидий, в том числе предоставляемых на конкурсной основе.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2. Контроль за выполнением настоящего постановления оставляю за собой.</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3. Настоящее постановление вступает в силу со дня его подписания.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Глава Городенского сельсовета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Льговского района                                                                                  А.М.Сенаторов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ПРИЛОЖЕНИЕ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 постановлению администрации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Городенского сельсовета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Льговского района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r w:rsidRPr="004D71FA">
        <w:rPr>
          <w:rFonts w:ascii="Tahoma" w:eastAsia="Times New Roman" w:hAnsi="Tahoma" w:cs="Tahoma"/>
          <w:color w:val="000000"/>
          <w:sz w:val="14"/>
          <w:szCs w:val="14"/>
          <w:u w:val="single"/>
          <w:lang w:eastAsia="ru-RU"/>
        </w:rPr>
        <w:t>от 09.06.2020 г. № 29</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Порядок предоставления грантов в форме субсидий, в том числе предоставляемых на конкурсной основе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1. Общие положения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1.1. Настоящий Порядок предоставления грантов в форме субсидий, в том числе предоставляемых на конкурсной основе (далее – Порядок) разработан в целях реализации положений </w:t>
      </w:r>
      <w:hyperlink r:id="rId7" w:history="1">
        <w:r w:rsidRPr="004D71FA">
          <w:rPr>
            <w:rFonts w:ascii="Tahoma" w:eastAsia="Times New Roman" w:hAnsi="Tahoma" w:cs="Tahoma"/>
            <w:color w:val="33A6E3"/>
            <w:sz w:val="14"/>
            <w:lang w:eastAsia="ru-RU"/>
          </w:rPr>
          <w:t>пункта 7 статьи 78</w:t>
        </w:r>
      </w:hyperlink>
      <w:r w:rsidRPr="004D71FA">
        <w:rPr>
          <w:rFonts w:ascii="Tahoma" w:eastAsia="Times New Roman" w:hAnsi="Tahoma" w:cs="Tahoma"/>
          <w:color w:val="000000"/>
          <w:sz w:val="14"/>
          <w:szCs w:val="14"/>
          <w:lang w:eastAsia="ru-RU"/>
        </w:rPr>
        <w:t> и </w:t>
      </w:r>
      <w:hyperlink r:id="rId8" w:history="1">
        <w:r w:rsidRPr="004D71FA">
          <w:rPr>
            <w:rFonts w:ascii="Tahoma" w:eastAsia="Times New Roman" w:hAnsi="Tahoma" w:cs="Tahoma"/>
            <w:color w:val="33A6E3"/>
            <w:sz w:val="14"/>
            <w:lang w:eastAsia="ru-RU"/>
          </w:rPr>
          <w:t>пункта 4 статьи 78.1 Бюджетного кодекса Российской Федерации</w:t>
        </w:r>
      </w:hyperlink>
      <w:r w:rsidRPr="004D71FA">
        <w:rPr>
          <w:rFonts w:ascii="Tahoma" w:eastAsia="Times New Roman" w:hAnsi="Tahoma" w:cs="Tahoma"/>
          <w:color w:val="000000"/>
          <w:sz w:val="14"/>
          <w:szCs w:val="14"/>
          <w:lang w:eastAsia="ru-RU"/>
        </w:rPr>
        <w:t>,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Городенского сельсовета Льговского района юридическим лицам (за исключением  муниципальных  учреждений), индивидуальным предпринимателям, физическим лицам.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1.2. Гранты в форме субсидий, в том числе предоставляемые на конкурсной основе (далее – Гранты), 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Городенского сельсовета Льговского района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1.3. Гранты предоставляются Получателям грантов из местного бюджета в соответствии с решением Собрания  депутатов Городенского сельсовета Льговского района о бюджете Городенского сельсовета Льговского района на текущий финансовый год и плановый период (далее – местный бюджет).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1.4. Целью предоставления Грантов является их предоставление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местным бюджетом.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Городенского сельсовета Льговского района,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1.8. Критериями отбора Получателей грантов, имеющих право на получение Гранта, являются: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соответствие сферы деятельности участника отбора  видам деятельности, определенным решением  о местном бюджете   на очередной финансовый год;</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lastRenderedPageBreak/>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w:t>
      </w:r>
      <w:hyperlink r:id="rId9" w:anchor="/document/10900200/entry/1" w:history="1">
        <w:r w:rsidRPr="004D71FA">
          <w:rPr>
            <w:rFonts w:ascii="Tahoma" w:eastAsia="Times New Roman" w:hAnsi="Tahoma" w:cs="Tahoma"/>
            <w:color w:val="33A6E3"/>
            <w:sz w:val="14"/>
            <w:lang w:eastAsia="ru-RU"/>
          </w:rPr>
          <w:t>законодательством</w:t>
        </w:r>
      </w:hyperlink>
      <w:r w:rsidRPr="004D71FA">
        <w:rPr>
          <w:rFonts w:ascii="Tahoma" w:eastAsia="Times New Roman" w:hAnsi="Tahoma" w:cs="Tahoma"/>
          <w:color w:val="000000"/>
          <w:sz w:val="14"/>
          <w:szCs w:val="14"/>
          <w:lang w:eastAsia="ru-RU"/>
        </w:rPr>
        <w:t> Российской Федерации о налогах и сборах, на дату, определенную правовым актом;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2.      Порядок предоставления Грантов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2.2.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 заявку на участие в конкурсном отборе, составленную по форме, установленной приложением №1 к настоящему Порядку;</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 проект, на реализацию которого планируется получение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 план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4) концепцию реализации Проекта (далее – концепция);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5) смету затрат в связи с реализацией Проекта, содержащую обоснование структуры и объёма этих затрат;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7) заверенные копии учредительных документов (при наличии).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2.3. План реализации должен содержать:</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 информацию об этапах реализации Проекта в пределах сроков, указанных в заявке на участие в конкурсном отборе;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 перечень выполняемых работ (оказываемых услуг), связанных с реализацией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 предполагаемые сроки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2.4. Концепция включает в себя следующие материалы:</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 цели и задачи концепции;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2.5. Смета затрат может включать в себя: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труда работников организаций участвующих в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транспортных услуг, необходимых для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услуг связи, в том числе по обеспечению доступа к сети «Интернет»;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типографских и полиграфических услуг;</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затраты, связанные с оплатой услуг иных организаций, участвующих в реализации Проекта, не предусмотренных настоящим пунктом.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2.8. Решение о предоставлении грантов принимается администрацией по представлению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Заместитель председателя Комиссии исполняет обязанности председателя Комиссии в период его отсутствия.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Секретарь Комиссии оповещает членов Комиссии о времени и месте проведения заседаний, ведёт протоколы заседаний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 работе в Комиссии могут привлекаться в качестве экспертов иные лица.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lastRenderedPageBreak/>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 соответствие Проекта назначению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 опыт работы участника Конкурса в сфере реализации Проектов;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 новизна, оригинальность и актуальность Проекта.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2.14. Основаниями для принятия решения об отказе в предоставлении Гранта являются: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несоответствие участника Конкурса требованиям, установленным пунктом 1.8 настоящего Порядка;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несоответствие тематики проектов тематике Конкурса.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Решение о наличии оснований для отказа в предоставлении гранта принимается Комиссией в ходе заседания Комиссии.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 сведения о размере Гранта, целях, условиях и порядке его предоставления, в том числе сроках перечисления;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 показатели результативности предоставления Гранта и их значения;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4) порядок и сроки возврата Гранта в местный бюджет;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2.18.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индивидуальным предпринимателям, юридическим лицам, за исключением бюджетных (автономных) учреждений:</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3. Требования к отчетности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3.1. Получатель гранта с даты получения средств гранта и до 31 декабря года,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3.2. Ответственность за достоверность представляемых сведений и целевое использование средств гранта возлагается на получателя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4. Требования об осуществлении контроля за соблюдением условий, целей и порядка предоставления грантов и ответственности за их нарушение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4.1.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xml:space="preserve">4.2.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w:t>
      </w:r>
      <w:r w:rsidRPr="004D71FA">
        <w:rPr>
          <w:rFonts w:ascii="Tahoma" w:eastAsia="Times New Roman" w:hAnsi="Tahoma" w:cs="Tahoma"/>
          <w:color w:val="000000"/>
          <w:sz w:val="14"/>
          <w:szCs w:val="14"/>
          <w:lang w:eastAsia="ru-RU"/>
        </w:rPr>
        <w:lastRenderedPageBreak/>
        <w:t>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Грант (остаток Гранта), не использованный в текущем финансовом году, подлежит возврату в местный бюджет.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4.3. Возврат Гранта (остатков Гранта) осуществляется на лицевой счёт администрации.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Приложение  № 1</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 Порядку предоставления грантов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в форме субсидий, в том числе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предоставляемых на конкурсной основе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ЗАЯВКА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на участие в конкурсном отборе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1.      Общие сведения</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Наименование Конкурса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Наименование организации (в соответствии с уставом организации)___________________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Фамилия, имя, отчество (при наличии) руководителя организации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Номер телефона (факса) с указанием кода населённого пункта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Адрес электронной почты (при наличии)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Краткое описание мероприятий проекта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Размер гранта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Руководитель организации 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(подпись) (расшифровка подписи)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2.      Справочная информация об организации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Адрес места нахождения  организации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Адрес официального сайта организации в информационно-телекоммуникационной сети «Интернет» (при  наличии)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Фамилия, имя, отчество (при наличии) бухгалтера организации _____________________________________________________________________________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Банковские реквизиты организации: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ОГРН_______________________________________________________________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ИНН________________________________________________________________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КПП ________________________________________________________________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Расчётный счёт _______________________________________________________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Банк получателя______________________________________________________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Корреспондентский счёт 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БИК ________________________________________________________________</w:t>
      </w: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Приложение  № 2</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 Порядку предоставления грантов</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в форме субсидий, в том числе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предоставляемых на конкурсной основе</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lastRenderedPageBreak/>
        <w:t>                                                </w:t>
      </w:r>
      <w:r w:rsidRPr="004D71FA">
        <w:rPr>
          <w:rFonts w:ascii="Tahoma" w:eastAsia="Times New Roman" w:hAnsi="Tahoma" w:cs="Tahoma"/>
          <w:color w:val="000000"/>
          <w:sz w:val="14"/>
          <w:szCs w:val="14"/>
          <w:lang w:eastAsia="ru-RU"/>
        </w:rPr>
        <w:t>ФОРМА ОТЧЕТА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ОТЧЕТ</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об использовании средств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№_____ от ______________20___г.</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u w:val="single"/>
          <w:lang w:eastAsia="ru-RU"/>
        </w:rPr>
        <w:t>за                     год</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(отчетный период)</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Размер гранта:__________________________________________________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Сумма  денежных средств на начало отчетного периода:_______________________________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Остаток денежных средств на конец отчетного периода:________________________________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bl>
      <w:tblPr>
        <w:tblW w:w="7632" w:type="dxa"/>
        <w:tblCellSpacing w:w="0" w:type="dxa"/>
        <w:shd w:val="clear" w:color="auto" w:fill="EEEEEE"/>
        <w:tblCellMar>
          <w:left w:w="0" w:type="dxa"/>
          <w:right w:w="0" w:type="dxa"/>
        </w:tblCellMar>
        <w:tblLook w:val="04A0"/>
      </w:tblPr>
      <w:tblGrid>
        <w:gridCol w:w="2666"/>
        <w:gridCol w:w="733"/>
        <w:gridCol w:w="695"/>
        <w:gridCol w:w="1000"/>
        <w:gridCol w:w="2538"/>
      </w:tblGrid>
      <w:tr w:rsidR="004D71FA" w:rsidRPr="004D71FA" w:rsidTr="004D71FA">
        <w:trPr>
          <w:tblCellSpacing w:w="0" w:type="dxa"/>
        </w:trPr>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Расходы, произведенные за счет средств гранта</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Ед. изме-</w:t>
            </w:r>
          </w:p>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рения</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Цена (руб.)</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Сумма</w:t>
            </w:r>
          </w:p>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(руб.)</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b/>
                <w:bCs/>
                <w:color w:val="000000"/>
                <w:sz w:val="14"/>
                <w:lang w:eastAsia="ru-RU"/>
              </w:rPr>
              <w:t>№ и дата документа, подтверждающего оплату расходов (оказание услуг)</w:t>
            </w:r>
          </w:p>
        </w:tc>
      </w:tr>
      <w:tr w:rsidR="004D71FA" w:rsidRPr="004D71FA" w:rsidTr="004D71FA">
        <w:trPr>
          <w:tblCellSpacing w:w="0" w:type="dxa"/>
        </w:trPr>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3</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4</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5</w:t>
            </w:r>
          </w:p>
        </w:tc>
      </w:tr>
      <w:tr w:rsidR="004D71FA" w:rsidRPr="004D71FA" w:rsidTr="004D71FA">
        <w:trPr>
          <w:tblCellSpacing w:w="0" w:type="dxa"/>
        </w:trPr>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1.</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r>
      <w:tr w:rsidR="004D71FA" w:rsidRPr="004D71FA" w:rsidTr="004D71FA">
        <w:trPr>
          <w:tblCellSpacing w:w="0" w:type="dxa"/>
        </w:trPr>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r>
      <w:tr w:rsidR="004D71FA" w:rsidRPr="004D71FA" w:rsidTr="004D71FA">
        <w:trPr>
          <w:tblCellSpacing w:w="0" w:type="dxa"/>
        </w:trPr>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ИТОГО</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D71FA" w:rsidRPr="004D71FA" w:rsidRDefault="004D71FA" w:rsidP="004D71FA">
            <w:pPr>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tc>
      </w:tr>
    </w:tbl>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Руководитель организации/индивидуальный предприниматель     ______________/_________</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 </w:t>
      </w:r>
    </w:p>
    <w:p w:rsidR="004D71FA" w:rsidRPr="004D71FA" w:rsidRDefault="004D71FA" w:rsidP="004D71FA">
      <w:pPr>
        <w:shd w:val="clear" w:color="auto" w:fill="EEEEEE"/>
        <w:spacing w:after="0" w:line="240" w:lineRule="auto"/>
        <w:jc w:val="both"/>
        <w:rPr>
          <w:rFonts w:ascii="Tahoma" w:eastAsia="Times New Roman" w:hAnsi="Tahoma" w:cs="Tahoma"/>
          <w:color w:val="000000"/>
          <w:sz w:val="14"/>
          <w:szCs w:val="14"/>
          <w:lang w:eastAsia="ru-RU"/>
        </w:rPr>
      </w:pPr>
      <w:r w:rsidRPr="004D71FA">
        <w:rPr>
          <w:rFonts w:ascii="Tahoma" w:eastAsia="Times New Roman" w:hAnsi="Tahoma" w:cs="Tahoma"/>
          <w:color w:val="000000"/>
          <w:sz w:val="14"/>
          <w:szCs w:val="14"/>
          <w:lang w:eastAsia="ru-RU"/>
        </w:rPr>
        <w:t>Главный бухгалтер  _________________/__________________</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292"/>
    <w:multiLevelType w:val="multilevel"/>
    <w:tmpl w:val="054C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60EAB"/>
    <w:multiLevelType w:val="multilevel"/>
    <w:tmpl w:val="CFD6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C61A8"/>
    <w:multiLevelType w:val="multilevel"/>
    <w:tmpl w:val="7704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4D71FA"/>
    <w:rsid w:val="0032108A"/>
    <w:rsid w:val="004D71FA"/>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71FA"/>
    <w:rPr>
      <w:b/>
      <w:bCs/>
    </w:rPr>
  </w:style>
  <w:style w:type="character" w:styleId="a5">
    <w:name w:val="Hyperlink"/>
    <w:basedOn w:val="a0"/>
    <w:uiPriority w:val="99"/>
    <w:semiHidden/>
    <w:unhideWhenUsed/>
    <w:rsid w:val="004D71FA"/>
    <w:rPr>
      <w:color w:val="0000FF"/>
      <w:u w:val="single"/>
    </w:rPr>
  </w:style>
</w:styles>
</file>

<file path=word/webSettings.xml><?xml version="1.0" encoding="utf-8"?>
<w:webSettings xmlns:r="http://schemas.openxmlformats.org/officeDocument/2006/relationships" xmlns:w="http://schemas.openxmlformats.org/wordprocessingml/2006/main">
  <w:divs>
    <w:div w:id="5790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17144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22403</Characters>
  <Application>Microsoft Office Word</Application>
  <DocSecurity>0</DocSecurity>
  <Lines>186</Lines>
  <Paragraphs>52</Paragraphs>
  <ScaleCrop>false</ScaleCrop>
  <Company>SPecialiST RePack</Company>
  <LinksUpToDate>false</LinksUpToDate>
  <CharactersWithSpaces>26281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2023-07-28T07:31:00Z</dcterms:created>
  <dcterms:modified xsi:type="dcterms:W3CDTF">2023-07-28T07:31:00Z</dcterms:modified>
</cp:coreProperties>
</file>