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проект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АДМИНИСТРАЦИЯ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ГОРОДЕНСКОГО СЕЛЬСОВЕТА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ЛЬГОВСКОГО РАЙОНА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ПОСТАНОВЛЕНИЕ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от         2022г.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Об утверждении Административного регламента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по предоставлению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«Принятие  решения об установлении или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прекращении публичных сервитутов»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Городенского сельсовета Льговского района Курской области от 06.11.2018  № 96 «О разработки и утверждения административных регламентов предоставления муниципальных услуг»", Администрация Городенского сельсовета Льговского района  Курской области </w:t>
      </w:r>
      <w:r w:rsidRPr="00EF3F70">
        <w:rPr>
          <w:rFonts w:ascii="Tahoma" w:eastAsia="Times New Roman" w:hAnsi="Tahoma" w:cs="Tahoma"/>
          <w:b/>
          <w:bCs/>
          <w:color w:val="000000"/>
          <w:sz w:val="25"/>
          <w:lang w:eastAsia="ru-RU"/>
        </w:rPr>
        <w:t> ПОСТАНОВЛЯЕТ: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1.Утвердить прилагаемый Административный регламент предоставления Администрацией Городенского сельсовета Льговского района  Курской области муниципальной услуги «Принятие  решения об установлении или прекращении публичных сервитутов».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 Контроль за исполнением настоящего постановления оставляю за собой.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3. Постановление вступает в силу со дня его обнародования.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Глава Городенского сельсовета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Льговского района Курской области:                                  В.М.Сотникова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Утвержден</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постановлением Администрации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Городенского сельсовета Льговского района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 2022 г.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АДМИНИСТРАТИВНЫЙ РЕГЛАМЕНТ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предоставления Администрацией Городенского сельсовета Льговского района Курской области муниципальной услуги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«Принятие  решения об установлении или прекращении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публичных сервитутов»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I. Общие положения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lastRenderedPageBreak/>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1.1.         Предмет регулирования административного регламента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Административный регламент предоставления  Администрацией Городенского сельсовета Льговского района  Курской области муниципальной услуги «Принятие  решения об установлении или прекращении публичных сервитутов»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F3F70">
        <w:rPr>
          <w:rFonts w:ascii="Tahoma" w:eastAsia="Times New Roman" w:hAnsi="Tahoma" w:cs="Tahoma"/>
          <w:i/>
          <w:iCs/>
          <w:color w:val="000000"/>
          <w:sz w:val="25"/>
          <w:lang w:eastAsia="ru-RU"/>
        </w:rPr>
        <w:t> </w:t>
      </w:r>
      <w:r w:rsidRPr="00EF3F70">
        <w:rPr>
          <w:rFonts w:ascii="Tahoma" w:eastAsia="Times New Roman" w:hAnsi="Tahoma" w:cs="Tahoma"/>
          <w:color w:val="000000"/>
          <w:sz w:val="25"/>
          <w:szCs w:val="25"/>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1.2.         Круг заявителей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 ходатайством об установлении публичного сервитута вправе обратиться организация (далее - Заявитель):</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 являющаяся организацией связи, - для размещения линий или сооружений связи, указанных в </w:t>
      </w:r>
      <w:hyperlink r:id="rId5" w:history="1">
        <w:r w:rsidRPr="00EF3F70">
          <w:rPr>
            <w:rFonts w:ascii="Tahoma" w:eastAsia="Times New Roman" w:hAnsi="Tahoma" w:cs="Tahoma"/>
            <w:color w:val="33A6E3"/>
            <w:sz w:val="25"/>
            <w:lang w:eastAsia="ru-RU"/>
          </w:rPr>
          <w:t>подпункте 1 статьи 39.37</w:t>
        </w:r>
      </w:hyperlink>
      <w:r w:rsidRPr="00EF3F70">
        <w:rPr>
          <w:rFonts w:ascii="Tahoma" w:eastAsia="Times New Roman" w:hAnsi="Tahoma" w:cs="Tahoma"/>
          <w:color w:val="000000"/>
          <w:sz w:val="25"/>
          <w:szCs w:val="25"/>
          <w:lang w:eastAsia="ru-RU"/>
        </w:rPr>
        <w:t> Федерального Закона Российской Федерации от 25.10.2001 №136 «Земельный кодекс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Федерального Закона Российской Федерации от 25.10.2001 №136 «Земельный кодекс Российской Федерации»;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4) предусмотренная пунктом 1 статьи 56.4 Федерального Закона Российской Федерации от 25.10.2001 №136 «Земельный кодекс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lastRenderedPageBreak/>
        <w:t>1.3. Требования к порядку информирования о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Информирование заявителей организуется следующим образом: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индивидуальное информирование (устное, письменное);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публичное информирование (средства массовой информации, сеть «Интернет»).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Время индивидуального устного информирования (в том числе по телефону) заявителя не может превышать 10 минут.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 ответах на телефонные звонки и устные обращения специалисты соблюдают  правила служебной этики.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xml:space="preserve">Письменное, индивидуальное информирование осуществляется в письменной форме за подписью главы района или его заместителя курирующего данные </w:t>
      </w:r>
      <w:r w:rsidRPr="00EF3F70">
        <w:rPr>
          <w:rFonts w:ascii="Tahoma" w:eastAsia="Times New Roman" w:hAnsi="Tahoma" w:cs="Tahoma"/>
          <w:color w:val="000000"/>
          <w:sz w:val="25"/>
          <w:szCs w:val="25"/>
          <w:lang w:eastAsia="ru-RU"/>
        </w:rPr>
        <w:lastRenderedPageBreak/>
        <w:t>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EF3F70">
          <w:rPr>
            <w:rFonts w:ascii="Tahoma" w:eastAsia="Times New Roman" w:hAnsi="Tahoma" w:cs="Tahoma"/>
            <w:color w:val="33A6E3"/>
            <w:sz w:val="25"/>
            <w:lang w:eastAsia="ru-RU"/>
          </w:rPr>
          <w:t>части 2 статьи 6</w:t>
        </w:r>
      </w:hyperlink>
      <w:r w:rsidRPr="00EF3F70">
        <w:rPr>
          <w:rFonts w:ascii="Tahoma" w:eastAsia="Times New Roman" w:hAnsi="Tahoma" w:cs="Tahoma"/>
          <w:color w:val="000000"/>
          <w:sz w:val="25"/>
          <w:szCs w:val="25"/>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На Едином портале можно получить информацию о (об):</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круге заявителей;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сроке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результате предоставления муниципальной услуги, порядок выдачи результата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формы заявлений (уведомлений, сообщений), используемые при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Информация о муниципальной услуге предоставляется бесплатно.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краткое описание порядка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перечни документов, необходимых для предоставления муниципальной услуги, и требования, предъявляемые  к этим документам;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порядок обжалования решения, действий или бездействия должностных лиц, предоставляющих муниципальную услугу;</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основания для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основания для приостановления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порядок информирования о ходе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порядок получения консультаций;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образцы оформления документов, необходимых для предоставления муниципальной услуги, и требования к ним.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F3F70">
        <w:rPr>
          <w:rFonts w:ascii="Tahoma" w:eastAsia="Times New Roman" w:hAnsi="Tahoma" w:cs="Tahoma"/>
          <w:b/>
          <w:bCs/>
          <w:color w:val="000000"/>
          <w:sz w:val="25"/>
          <w:lang w:eastAsia="ru-RU"/>
        </w:rPr>
        <w:t>;</w:t>
      </w:r>
      <w:r w:rsidRPr="00EF3F70">
        <w:rPr>
          <w:rFonts w:ascii="Tahoma" w:eastAsia="Times New Roman" w:hAnsi="Tahoma" w:cs="Tahoma"/>
          <w:color w:val="000000"/>
          <w:sz w:val="25"/>
          <w:szCs w:val="25"/>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EF3F70">
        <w:rPr>
          <w:rFonts w:ascii="Tahoma" w:eastAsia="Times New Roman" w:hAnsi="Tahoma" w:cs="Tahoma"/>
          <w:color w:val="000000"/>
          <w:sz w:val="25"/>
          <w:szCs w:val="25"/>
          <w:u w:val="single"/>
          <w:lang w:eastAsia="ru-RU"/>
        </w:rPr>
        <w:t>http://</w:t>
      </w:r>
      <w:r w:rsidRPr="00EF3F70">
        <w:rPr>
          <w:rFonts w:ascii="Tahoma" w:eastAsia="Times New Roman" w:hAnsi="Tahoma" w:cs="Tahoma"/>
          <w:color w:val="000000"/>
          <w:sz w:val="25"/>
          <w:szCs w:val="25"/>
          <w:lang w:eastAsia="ru-RU"/>
        </w:rPr>
        <w:t> gorodensk</w:t>
      </w:r>
      <w:r w:rsidRPr="00EF3F70">
        <w:rPr>
          <w:rFonts w:ascii="Tahoma" w:eastAsia="Times New Roman" w:hAnsi="Tahoma" w:cs="Tahoma"/>
          <w:color w:val="000000"/>
          <w:sz w:val="25"/>
          <w:szCs w:val="25"/>
          <w:u w:val="single"/>
          <w:lang w:eastAsia="ru-RU"/>
        </w:rPr>
        <w:t>.rkursk.ru</w:t>
      </w:r>
      <w:r w:rsidRPr="00EF3F70">
        <w:rPr>
          <w:rFonts w:ascii="Tahoma" w:eastAsia="Times New Roman" w:hAnsi="Tahoma" w:cs="Tahoma"/>
          <w:color w:val="000000"/>
          <w:sz w:val="25"/>
          <w:szCs w:val="25"/>
          <w:lang w:eastAsia="ru-RU"/>
        </w:rPr>
        <w:t> и  на Едином портале </w:t>
      </w:r>
      <w:hyperlink r:id="rId7" w:history="1">
        <w:r w:rsidRPr="00EF3F70">
          <w:rPr>
            <w:rFonts w:ascii="Tahoma" w:eastAsia="Times New Roman" w:hAnsi="Tahoma" w:cs="Tahoma"/>
            <w:color w:val="33A6E3"/>
            <w:sz w:val="25"/>
            <w:lang w:eastAsia="ru-RU"/>
          </w:rPr>
          <w:t>https://www.gosuslugi.ru.</w:t>
        </w:r>
      </w:hyperlink>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II. Стандарт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 Наименование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Принятие  решения об установлении или прекращении публичных сервитутов (далее  - муниципальная услуга).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         </w:t>
      </w:r>
      <w:r w:rsidRPr="00EF3F70">
        <w:rPr>
          <w:rFonts w:ascii="Tahoma" w:eastAsia="Times New Roman" w:hAnsi="Tahoma" w:cs="Tahoma"/>
          <w:b/>
          <w:bCs/>
          <w:color w:val="000000"/>
          <w:sz w:val="25"/>
          <w:lang w:eastAsia="ru-RU"/>
        </w:rPr>
        <w:t>2.2. Наименование органа местного самоуправления, предоставляющего услугу</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2.2.1. Муниципальная услуга предоставляется Администрацией Городенского сельсовета Льговского района Курской области (далее – Администрация).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2.2.2. В предоставлении муниципальной услуги принимают участие: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Управление Федеральной службы государственной регистрации, кадастра и картографии по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Управление Федеральной налоговой службы по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2.3. Описание результата предоставления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Результатом предоставления муниципальной услуги является: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 постановление об установлении в отношении земельного участка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 постановление о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 письменный отказ в предоставлении муниципальной услуги.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2.4. Срок предоставления муниципальной услуги</w:t>
      </w:r>
      <w:r w:rsidRPr="00EF3F70">
        <w:rPr>
          <w:rFonts w:ascii="Tahoma" w:eastAsia="Times New Roman" w:hAnsi="Tahoma" w:cs="Tahoma"/>
          <w:color w:val="000000"/>
          <w:sz w:val="25"/>
          <w:szCs w:val="25"/>
          <w:lang w:eastAsia="ru-RU"/>
        </w:rPr>
        <w:t>,</w:t>
      </w:r>
      <w:r w:rsidRPr="00EF3F70">
        <w:rPr>
          <w:rFonts w:ascii="Tahoma" w:eastAsia="Times New Roman" w:hAnsi="Tahoma" w:cs="Tahoma"/>
          <w:b/>
          <w:bCs/>
          <w:color w:val="000000"/>
          <w:sz w:val="25"/>
          <w:lang w:eastAsia="ru-RU"/>
        </w:rPr>
        <w:t> </w:t>
      </w: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i/>
          <w:i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2.4.1. Максимальный срок предоставления муниципальной услуги составляет 65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2.4.3. Срок выдачи результата  составляет 1 (один) рабочий день.</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         2.4.4. Срок проведения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 30 дней.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2.4.5. Срок осуществления государственного кадастрового учета установлены ст. 16 Федерального закона от 13.07.2015 N 218-ФЗ «О государственной регистрации недвижимости».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2.4.6. Срок проведения общественных слушаний – 60 дней.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2.5. Нормативные правовые акты, регулирующие предоставление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EF3F70">
        <w:rPr>
          <w:rFonts w:ascii="Tahoma" w:eastAsia="Times New Roman" w:hAnsi="Tahoma" w:cs="Tahoma"/>
          <w:color w:val="000000"/>
          <w:sz w:val="25"/>
          <w:szCs w:val="25"/>
          <w:u w:val="single"/>
          <w:lang w:eastAsia="ru-RU"/>
        </w:rPr>
        <w:t>http://</w:t>
      </w:r>
      <w:r w:rsidRPr="00EF3F70">
        <w:rPr>
          <w:rFonts w:ascii="Tahoma" w:eastAsia="Times New Roman" w:hAnsi="Tahoma" w:cs="Tahoma"/>
          <w:color w:val="000000"/>
          <w:sz w:val="25"/>
          <w:szCs w:val="25"/>
          <w:lang w:eastAsia="ru-RU"/>
        </w:rPr>
        <w:t>gorodensk</w:t>
      </w:r>
      <w:r w:rsidRPr="00EF3F70">
        <w:rPr>
          <w:rFonts w:ascii="Tahoma" w:eastAsia="Times New Roman" w:hAnsi="Tahoma" w:cs="Tahoma"/>
          <w:color w:val="000000"/>
          <w:sz w:val="25"/>
          <w:szCs w:val="25"/>
          <w:u w:val="single"/>
          <w:lang w:eastAsia="ru-RU"/>
        </w:rPr>
        <w:t>.rkursk.ru</w:t>
      </w:r>
      <w:r w:rsidRPr="00EF3F70">
        <w:rPr>
          <w:rFonts w:ascii="Tahoma" w:eastAsia="Times New Roman" w:hAnsi="Tahoma" w:cs="Tahoma"/>
          <w:color w:val="000000"/>
          <w:sz w:val="25"/>
          <w:szCs w:val="25"/>
          <w:lang w:eastAsia="ru-RU"/>
        </w:rPr>
        <w:t>  в сети «Интернет» и на Едином портале </w:t>
      </w:r>
      <w:hyperlink r:id="rId8" w:history="1">
        <w:r w:rsidRPr="00EF3F70">
          <w:rPr>
            <w:rFonts w:ascii="Tahoma" w:eastAsia="Times New Roman" w:hAnsi="Tahoma" w:cs="Tahoma"/>
            <w:color w:val="33A6E3"/>
            <w:sz w:val="25"/>
            <w:lang w:eastAsia="ru-RU"/>
          </w:rPr>
          <w:t>https://www.gosuslugi.ru</w:t>
        </w:r>
      </w:hyperlink>
      <w:r w:rsidRPr="00EF3F70">
        <w:rPr>
          <w:rFonts w:ascii="Tahoma" w:eastAsia="Times New Roman" w:hAnsi="Tahoma" w:cs="Tahoma"/>
          <w:color w:val="000000"/>
          <w:sz w:val="25"/>
          <w:szCs w:val="25"/>
          <w:lang w:eastAsia="ru-RU"/>
        </w:rPr>
        <w:t>.</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Для принятия решения  об установлении  или  прекращении  публичных  сервитутов необходимы следующие документы:</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1) ходатайство об установлении или прекращении публичного сервитута с обоснованием установления публичного сервитута в случае его установления;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4) ситуационный план земельного участка с указанием части земельного участка - сферы действия планируемого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Для предоставления муниципальной услуги в рамках межведомственного взаимодействия запрашиваются следующие документы:</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 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3) кадастровый паспорт земельного участка либо кадастровая выписка о земельном участке.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Заявитель вправе представить указанные документы (сведения) по собственной инициативе.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Не предоставление заявителем вышеуказанных сведений не является основанием для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2.8.Указание на запрет требовать от заявителя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2.8.1. Не допускается требовать от заявителя: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2.9. Исчерпывающий перечень оснований для отказа в приеме документов, необходимых для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заявление подано лицом, не уполномоченным надлежащим образом на осуществление таких действий;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несоответствие заявления и приложенных к нему документов требованиям действующего законодательства Российской Федерации;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наличие у заявителя неполного комплекта документов, предусмотренных пунктом 2.6 Административного регламента.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2.10. Исчерпывающий перечень оснований для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публичный сервитут не соответствует правовому режиму использования земельного участка;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цель установления публичного сервитута не предусмотрена земельным законодательством;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 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Муниципальная услуга предоставляется без взимания государственной пошлины или иной платы.</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2.13.</w:t>
      </w: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Законодательством не предусмотрено.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Максимальный срок ожидания в очереди при подаче заявления о предоставлении и при предоставлении результата муниципальной услуги -  не более 15 минут.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2.15.1. При непосредственном обращении заявителя лично, максимальный срок регистрации заявления – 15 минут.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проверяет документы согласно представленной описи;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регистрирует заявление с документами в соответствии с правилами делопроизводства;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 сообщает заявителю о предварительной дате выдачи результата  предоставления муниципальной услуги.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порядке предоставления таких услуг</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Места ожидания заявителей оборудуются стульями и (или) кресельными секциями, и (или) скамьями.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2.16.3. Обеспечение доступности для инвалидов.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возможность беспрепятственного входа в помещение  и выхода из него;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сопровождение инвалидов, имеющих стойкие расстройства функции зрения и самостоятельного передвижения, и оказание им помощи;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содействие со стороны должностных лиц, при необходимости, инвалиду при входе в объект и выходе из него;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оборудование на прилегающих к зданию территориях мест для парковки автотранспортных средств инвалидов;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сопровождение инвалидов, имеющих стойкие расстройства функции зрения и самостоятельного передвижения, по территории объекта;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допуск в помещение сурдопереводчика и тифлосурдопереводчика;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предоставление, при необходимости, услуги по месту жительства инвалида или в дистанционном режиме;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w:t>
      </w:r>
      <w:r w:rsidRPr="00EF3F70">
        <w:rPr>
          <w:rFonts w:ascii="Tahoma" w:eastAsia="Times New Roman" w:hAnsi="Tahoma" w:cs="Tahoma"/>
          <w:b/>
          <w:bCs/>
          <w:color w:val="000000"/>
          <w:sz w:val="25"/>
          <w:lang w:eastAsia="ru-RU"/>
        </w:rPr>
        <w:lastRenderedPageBreak/>
        <w:t>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Показатели доступности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транспортная или пешая доступность к местам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доступность обращения за предоставлением государственной услуги, в том числе для лиц с ограниченными возможностями здоровья.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Показатели качества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полнота и актуальность информации о порядке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количество фактов  взаимодействия заявителя с должностными лицами при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отсутствие очередей при приеме и выдаче документов заявителям;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отсутствием обоснованных жалоб на действия (бездействие) специалистов и уполномоченных должностных лиц;</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отсутствие  жалоб на некорректное, невнимательное отношение специалистов и уполномоченных должностных лиц к заявителям;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2.18. Иные требования, в том числе учитывающие особенности предоставления услуги в электронной форме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Муниципальная услуга в  электронной форме     в настоящее время не предоставляется.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xml:space="preserve">         III. Состав, последовательность и сроки выполнения административных процедур (действий), требования к порядку их </w:t>
      </w:r>
      <w:r w:rsidRPr="00EF3F70">
        <w:rPr>
          <w:rFonts w:ascii="Tahoma" w:eastAsia="Times New Roman" w:hAnsi="Tahoma" w:cs="Tahoma"/>
          <w:b/>
          <w:bCs/>
          <w:color w:val="000000"/>
          <w:sz w:val="25"/>
          <w:lang w:eastAsia="ru-RU"/>
        </w:rPr>
        <w:lastRenderedPageBreak/>
        <w:t>выполнения, в том числе особенности выполнения административных процедур (действий) в электронной форме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3.1. Исчерпывающий перечень административных процедур:</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Предоставление муниципальной услуги включает в себя следующие административные процедуры:</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  прием и регистрация заявления и документов о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  направление  межведомственных запросов в органы, участвующие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3)  рассмотрение документов, установление оснований для предоставления (отказа, приостановления)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4)  организация и проведение общественных слушаний об установлении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5)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6)  обеспечение государственной регистрации публичного сервитута в Едином государственном реестре прав на недвижимое имущество и сделок с ним;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7)  выдача заявителю результата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3.2. Прием и регистрация заявления и документов о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пунктом 2.6 Административного регламента.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Поступившие по почте документы регистрируются специалистом в день поступления.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Критерием принятия решения – поступление заявление о предоставлении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Способ фиксации результата – внесение записи в Журнал регистрации входящей документации.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lastRenderedPageBreak/>
        <w:t>3.3. Направление  межведомственных запросов в органы, участвующие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Основанием для начала административной процедуры является прием заявления без приложения документов, которые в соответствии с </w:t>
      </w:r>
      <w:hyperlink r:id="rId9" w:history="1">
        <w:r w:rsidRPr="00EF3F70">
          <w:rPr>
            <w:rFonts w:ascii="Tahoma" w:eastAsia="Times New Roman" w:hAnsi="Tahoma" w:cs="Tahoma"/>
            <w:color w:val="33A6E3"/>
            <w:sz w:val="25"/>
            <w:lang w:eastAsia="ru-RU"/>
          </w:rPr>
          <w:t>пунктом 2.</w:t>
        </w:r>
      </w:hyperlink>
      <w:r w:rsidRPr="00EF3F70">
        <w:rPr>
          <w:rFonts w:ascii="Tahoma" w:eastAsia="Times New Roman" w:hAnsi="Tahoma" w:cs="Tahoma"/>
          <w:color w:val="000000"/>
          <w:sz w:val="25"/>
          <w:szCs w:val="25"/>
          <w:lang w:eastAsia="ru-RU"/>
        </w:rPr>
        <w:t>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 в организации, участвующие в предоставлении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0" w:history="1">
        <w:r w:rsidRPr="00EF3F70">
          <w:rPr>
            <w:rFonts w:ascii="Tahoma" w:eastAsia="Times New Roman" w:hAnsi="Tahoma" w:cs="Tahoma"/>
            <w:color w:val="33A6E3"/>
            <w:sz w:val="25"/>
            <w:lang w:eastAsia="ru-RU"/>
          </w:rPr>
          <w:t>законодательства</w:t>
        </w:r>
      </w:hyperlink>
      <w:r w:rsidRPr="00EF3F70">
        <w:rPr>
          <w:rFonts w:ascii="Tahoma" w:eastAsia="Times New Roman" w:hAnsi="Tahoma" w:cs="Tahoma"/>
          <w:color w:val="000000"/>
          <w:sz w:val="25"/>
          <w:szCs w:val="25"/>
          <w:lang w:eastAsia="ru-RU"/>
        </w:rPr>
        <w:t> Российской Федерации о защите персональных данных.</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Критерием принятия решения  является отсутствие документов указанных в пункте  2.7. настоящего Административного регламента.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 получении ответа на запрос ответственный исполнитель  приобщает полученный ответ к заявлению.</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Ответы  на  межведомственные запросы   регистрируется в установленном порядке.         Ответственный исполнитель приобщает  полученный ответ к документам, представленным заявителем.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Критерием принятия решения  является отсутствие документов указанных в пункте  2.7. настоящего  Административного регламента.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Результат административной процедуры – получение ответов на межведомственные запросы.</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Способ фиксации результата – регистрация ответов на межведомственные запросы в журнале  регистрации входящей корреспонденции.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3.4. Рассмотрение документов, установление оснований для предоставления (отказа, приостановления)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Основанием для начала административной процедуры является наличие зарегистрированного заявления с полным комплектом документов, указанных в пункте 2.6. и 2.7. настоящего Административного регламента.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Специалист,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При соответствии документов установленным требованиям специалист: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При установлении фактов, указанных в пункте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 установлении фактов, указанных в пункте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Ответ на обращение, поступившее через Интернет, направляется в письменном виде по указанному автором почтовому адресу, в электронном виде на адрес электронной почты.</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Критерием принятия решения  является  наличие (отсутствие) права заявителя на предоставление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Результат административной процедуры – принятие решения о предоставлении (отказе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Сроки выполнения административной процедуры – 30 рабочих дней с даты регистрации заявления.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3.5. Организация и проведение общественных слушаний об установлении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lastRenderedPageBreak/>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Основанием для начала административной процедуры является отсутствие оснований для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Специалист, ответственный за предоставление муниципальной  услуги готовит постановление Администрации Городенского сельсовета Льговского района о проведении общественных слушаний по установлению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 и размещает на официальном сайте Администрации извещение о проведении общественных слушаний об установлении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Общественные слушания об установлении (прекращении действия) публичного сервитута  организуются и проводятся в порядке и сроки, установленные Уставом муниципального образования «Городенский сельсовет» Льговского района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Результаты общественных слушаний, предложения и замечания, поступившие в ходе общественных слушаний, подлежат обязательному учету при подготовке проекта постановления об установлении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Принятое на общественных слушаниях решение (итоговый документ) подлежит опубликованию в срок не позднее чем через 10 рабочих дней после окончания слушаний в средствах массовой информации, и подлежит размещению на официальном сайте Администрации в сети Интернет.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Критерием принятия решения  является  отсутствие оснований для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Результат административной процедуры – принятое на общественных слушаниях решение по установлению публичного сервитута (прекращении действия).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Максимальный срок выполнения действия составляет 5 рабочих дней (со дня принятия решения).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3.6. 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Основанием для начала административной процедуры является:</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принятое на общественных слушаниях решение по установлению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решение о прекращении действия постоянного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истечение срока действия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xml:space="preserve">         Специалист, ответственный за предоставление муниципальной услуги, готовит проект постановления об установлении (прекращении действия)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w:t>
      </w:r>
      <w:r w:rsidRPr="00EF3F70">
        <w:rPr>
          <w:rFonts w:ascii="Tahoma" w:eastAsia="Times New Roman" w:hAnsi="Tahoma" w:cs="Tahoma"/>
          <w:color w:val="000000"/>
          <w:sz w:val="25"/>
          <w:szCs w:val="25"/>
          <w:lang w:eastAsia="ru-RU"/>
        </w:rPr>
        <w:lastRenderedPageBreak/>
        <w:t>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 такой части земельного участка с указанием сведений о площади и границах (координатах характерных точек границы) части участка); срок действия публичного сервитута; указание на безвозмездность установления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 случае отсутствия общественных нужд, для которых был установлен публичный сервитут, он прекращается,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публичного сервитута. Заявление должно быть рассмотрено в течение двух месяцев со дня его регистрации.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Специалист,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Критерий принятия решения – наличие принятого на общественных слушаниях решения об установлении публичного сервитута, либо решения о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Результат административной процедуры – постановление об установлении (о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Срок выполнения процедуры – 10 рабочих дней.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3.7. Обеспечение государственной регистрации публичного сервитута в Едином государственном реестре прав на недвижимое имущество и сделок с ним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xml:space="preserve">          Основанием для начала административной процедуры является подписанное постановление об установлении (о прекращении действия) </w:t>
      </w:r>
      <w:r w:rsidRPr="00EF3F70">
        <w:rPr>
          <w:rFonts w:ascii="Tahoma" w:eastAsia="Times New Roman" w:hAnsi="Tahoma" w:cs="Tahoma"/>
          <w:color w:val="000000"/>
          <w:sz w:val="25"/>
          <w:szCs w:val="25"/>
          <w:lang w:eastAsia="ru-RU"/>
        </w:rPr>
        <w:lastRenderedPageBreak/>
        <w:t>публичного сервитута, либо письменный отказ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Специалист Администрации передает пакет документов по установлению публичного сервитута в отношении части земельного участка в Управление Росреестра по Курской области для проведения государственной регистрации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Критерием принятия решения является наличие подписанного постановления об установлении (о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Результатом административной процедуры является направленное на регистрацию постановление об установлении (о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Максимальный срок осуществления административного действия –   5 рабочих дней после принятия постановления об установлении (о прекращении действия) публичного сервитута.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3.8. Выдача заявителю результата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Основанием для начала административной процедуры является зарегистрированное постановление об установлении (о прекращении действия) публичного сервитута, либо письменный отказ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Ответственный исполнитель  выдает (направляет) постановление об установлении (о прекращении действия) публичного сервитута заявителю.</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Критерием принятия решения является наличие подписанного и  зарегистрированного постановления об установлении (о прекращении действия) публичного сервитута, либо письменного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Максимальный срок осуществления административного действия –   1 рабочий день.</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Результатом административной процедуры является выдача заявителю постановления об установлении (о прекращении действия) публичного сервитута, либо письменного отказа в предоставлении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Способ фиксации результата - регистрация постановления об установлении (о прекращении действия) публичного сервитута, либо письменного отказа в предоставлении муниципальной услуги в журнале регистрации.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IV. Формы  контроля за предоставлением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Глава Городенского сельсовета Льговского района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заместитель Главы Администрации Городенского сельсовета Льговского района.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Периодичность осуществления текущего контроля устанавливается распоряжением Администрации.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4.2.1. Контроль</w:t>
      </w:r>
      <w:r w:rsidRPr="00EF3F70">
        <w:rPr>
          <w:rFonts w:ascii="Tahoma" w:eastAsia="Times New Roman" w:hAnsi="Tahoma" w:cs="Tahoma"/>
          <w:b/>
          <w:bCs/>
          <w:color w:val="000000"/>
          <w:sz w:val="25"/>
          <w:lang w:eastAsia="ru-RU"/>
        </w:rPr>
        <w:t> </w:t>
      </w:r>
      <w:r w:rsidRPr="00EF3F70">
        <w:rPr>
          <w:rFonts w:ascii="Tahoma" w:eastAsia="Times New Roman" w:hAnsi="Tahoma" w:cs="Tahoma"/>
          <w:color w:val="000000"/>
          <w:sz w:val="25"/>
          <w:szCs w:val="25"/>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Городенского сельсовета Льговского района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EF3F70">
          <w:rPr>
            <w:rFonts w:ascii="Tahoma" w:eastAsia="Times New Roman" w:hAnsi="Tahoma" w:cs="Tahoma"/>
            <w:color w:val="33A6E3"/>
            <w:sz w:val="25"/>
            <w:lang w:eastAsia="ru-RU"/>
          </w:rPr>
          <w:t>http://gosuslugi.ru</w:t>
        </w:r>
      </w:hyperlink>
      <w:r w:rsidRPr="00EF3F70">
        <w:rPr>
          <w:rFonts w:ascii="Tahoma" w:eastAsia="Times New Roman" w:hAnsi="Tahoma" w:cs="Tahoma"/>
          <w:color w:val="000000"/>
          <w:sz w:val="25"/>
          <w:szCs w:val="25"/>
          <w:lang w:eastAsia="ru-RU"/>
        </w:rPr>
        <w:t>.</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Жалоба может быть направлена в Администрацию Городенского сельсовета Льговского района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 Администрации Городенского сельсовета Льговского района жалобы рассматривает Глава Городенского сельсовета Льговского района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lastRenderedPageBreak/>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5.3. Способы информирования заявителей о порядке подачи и рассмотрения жалобы, в том числе с использованием Единого портала</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5.4.</w:t>
      </w:r>
      <w:r w:rsidRPr="00EF3F70">
        <w:rPr>
          <w:rFonts w:ascii="Tahoma" w:eastAsia="Times New Roman" w:hAnsi="Tahoma" w:cs="Tahoma"/>
          <w:color w:val="000000"/>
          <w:sz w:val="25"/>
          <w:szCs w:val="25"/>
          <w:lang w:eastAsia="ru-RU"/>
        </w:rPr>
        <w:t> </w:t>
      </w:r>
      <w:r w:rsidRPr="00EF3F70">
        <w:rPr>
          <w:rFonts w:ascii="Tahoma" w:eastAsia="Times New Roman" w:hAnsi="Tahoma" w:cs="Tahoma"/>
          <w:b/>
          <w:bCs/>
          <w:color w:val="000000"/>
          <w:sz w:val="25"/>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F3F70" w:rsidRPr="00EF3F70" w:rsidRDefault="00EF3F70" w:rsidP="00EF3F70">
      <w:pPr>
        <w:numPr>
          <w:ilvl w:val="0"/>
          <w:numId w:val="1"/>
        </w:numPr>
        <w:shd w:val="clear" w:color="auto" w:fill="EEEEEE"/>
        <w:spacing w:after="0" w:line="240" w:lineRule="auto"/>
        <w:ind w:left="0"/>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Федеральным законом  от 27.07.2010 № 210-ФЗ  «Об организации предоставления государственных и муниципальных услуг»;</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3.Постановлением Администрации Городенского сельсовета Льговского района Курской области №90 от 03.11.2015  «Об утверждении Положения об особенностях подачи и рассмотрения жалоб на решения и действия (бездействие) Администрации  Городенского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Городенского сельсовета Льговского района Курской области».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Информация,  указанная в данном разделе, размещена  на  Едином    портале </w:t>
      </w:r>
      <w:hyperlink r:id="rId12" w:history="1">
        <w:r w:rsidRPr="00EF3F70">
          <w:rPr>
            <w:rFonts w:ascii="Tahoma" w:eastAsia="Times New Roman" w:hAnsi="Tahoma" w:cs="Tahoma"/>
            <w:color w:val="33A6E3"/>
            <w:sz w:val="25"/>
            <w:lang w:eastAsia="ru-RU"/>
          </w:rPr>
          <w:t>https://www.gosuslugi.ru</w:t>
        </w:r>
      </w:hyperlink>
      <w:r w:rsidRPr="00EF3F70">
        <w:rPr>
          <w:rFonts w:ascii="Tahoma" w:eastAsia="Times New Roman" w:hAnsi="Tahoma" w:cs="Tahoma"/>
          <w:color w:val="000000"/>
          <w:sz w:val="25"/>
          <w:szCs w:val="25"/>
          <w:lang w:eastAsia="ru-RU"/>
        </w:rPr>
        <w:t>.</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Приложение 1</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 административному регламенту</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предоставления муниципальной услуги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«Принятие  решения об установлении</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или прекращении публичных сервитутов»</w:t>
      </w:r>
    </w:p>
    <w:p w:rsidR="00EF3F70" w:rsidRPr="00EF3F70" w:rsidRDefault="00EF3F70" w:rsidP="00EF3F70">
      <w:pPr>
        <w:shd w:val="clear" w:color="auto" w:fill="EEEEEE"/>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bl>
      <w:tblPr>
        <w:tblW w:w="136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87"/>
        <w:gridCol w:w="428"/>
        <w:gridCol w:w="290"/>
        <w:gridCol w:w="2520"/>
        <w:gridCol w:w="852"/>
        <w:gridCol w:w="671"/>
        <w:gridCol w:w="435"/>
        <w:gridCol w:w="435"/>
        <w:gridCol w:w="671"/>
        <w:gridCol w:w="1559"/>
        <w:gridCol w:w="292"/>
        <w:gridCol w:w="136"/>
        <w:gridCol w:w="526"/>
        <w:gridCol w:w="272"/>
        <w:gridCol w:w="186"/>
        <w:gridCol w:w="402"/>
        <w:gridCol w:w="124"/>
        <w:gridCol w:w="616"/>
        <w:gridCol w:w="598"/>
        <w:gridCol w:w="428"/>
        <w:gridCol w:w="453"/>
        <w:gridCol w:w="145"/>
        <w:gridCol w:w="36"/>
        <w:gridCol w:w="290"/>
        <w:gridCol w:w="428"/>
      </w:tblGrid>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b/>
                <w:bCs/>
                <w:color w:val="000000"/>
                <w:sz w:val="25"/>
                <w:lang w:eastAsia="ru-RU"/>
              </w:rPr>
              <w:t>Ходатайство об установлении публичного сервитута</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w:t>
            </w:r>
          </w:p>
        </w:tc>
        <w:tc>
          <w:tcPr>
            <w:tcW w:w="26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6852" w:type="dxa"/>
            <w:gridSpan w:val="19"/>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8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26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6852" w:type="dxa"/>
            <w:gridSpan w:val="19"/>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(наименование органа, принимающего решение об установлении публичного сервитута)</w:t>
            </w:r>
          </w:p>
        </w:tc>
        <w:tc>
          <w:tcPr>
            <w:tcW w:w="288"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Сведения о лице, представившем ходатайство об установлении публичного сервитута</w:t>
            </w:r>
            <w:r w:rsidRPr="00EF3F70">
              <w:rPr>
                <w:rFonts w:ascii="Tahoma" w:eastAsia="Times New Roman" w:hAnsi="Tahoma" w:cs="Tahoma"/>
                <w:color w:val="000000"/>
                <w:sz w:val="25"/>
                <w:szCs w:val="25"/>
                <w:lang w:eastAsia="ru-RU"/>
              </w:rPr>
              <w:br/>
              <w:t>(далее – заявитель):</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2.1</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Полное наименование</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2.2</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Сокращенное наименование</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2.3</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Организационно-правовая форма</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2.4</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Почтовый адрес (индекс, субъект Российской Федерации, населенный пункт, улица, дом)</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2.5</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Фактический адрес (индекс, субъект Российской Федерации, населенный пункт, улица, дом)</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2.6</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Адрес электронной почты</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2.7</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ОГРН</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2.8</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ИНН</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3</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cente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Сведения о представителе заявителя:</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3.1</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Фамилия</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Имя</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Отчество (при наличии)</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3.2</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Адрес электронной почты</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3.3</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Телефон</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3.4</w:t>
            </w: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Наименование и реквизиты документа, подтверждающего полномочия представителя заявителя</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4</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7248" w:type="dxa"/>
            <w:gridSpan w:val="2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7248" w:type="dxa"/>
            <w:gridSpan w:val="2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5</w:t>
            </w:r>
          </w:p>
        </w:tc>
        <w:tc>
          <w:tcPr>
            <w:tcW w:w="3516" w:type="dxa"/>
            <w:gridSpan w:val="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Испрашиваемый срок публичного сервитута</w:t>
            </w:r>
          </w:p>
        </w:tc>
        <w:tc>
          <w:tcPr>
            <w:tcW w:w="2724" w:type="dxa"/>
            <w:gridSpan w:val="1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164" w:type="dxa"/>
            <w:gridSpan w:val="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6</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2940"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возникновении таких обстоятельств)</w:t>
            </w:r>
          </w:p>
        </w:tc>
        <w:tc>
          <w:tcPr>
            <w:tcW w:w="2604" w:type="dxa"/>
            <w:gridSpan w:val="8"/>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848" w:type="dxa"/>
            <w:gridSpan w:val="11"/>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7</w:t>
            </w:r>
          </w:p>
        </w:tc>
        <w:tc>
          <w:tcPr>
            <w:tcW w:w="5148" w:type="dxa"/>
            <w:gridSpan w:val="1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Обоснование необходимости установления публичного сервитута</w:t>
            </w:r>
          </w:p>
        </w:tc>
        <w:tc>
          <w:tcPr>
            <w:tcW w:w="2172" w:type="dxa"/>
            <w:gridSpan w:val="1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8</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5712" w:type="dxa"/>
            <w:gridSpan w:val="1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620" w:type="dxa"/>
            <w:gridSpan w:val="9"/>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9</w:t>
            </w:r>
          </w:p>
        </w:tc>
        <w:tc>
          <w:tcPr>
            <w:tcW w:w="3960" w:type="dxa"/>
            <w:gridSpan w:val="8"/>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432" w:type="dxa"/>
            <w:gridSpan w:val="16"/>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0" w:type="auto"/>
            <w:gridSpan w:val="8"/>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3432" w:type="dxa"/>
            <w:gridSpan w:val="16"/>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0" w:type="auto"/>
            <w:gridSpan w:val="8"/>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3432" w:type="dxa"/>
            <w:gridSpan w:val="16"/>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lastRenderedPageBreak/>
              <w:t>10</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11</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Сведения о способах представления результатов рассмотрения ходатайства:</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5208" w:type="dxa"/>
            <w:gridSpan w:val="11"/>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 виде электронного документа, который направляется уполномоченным органом заявителю посредством электронной почты</w:t>
            </w:r>
          </w:p>
        </w:tc>
        <w:tc>
          <w:tcPr>
            <w:tcW w:w="33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476" w:type="dxa"/>
            <w:gridSpan w:val="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3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0" w:type="auto"/>
            <w:gridSpan w:val="11"/>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33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476" w:type="dxa"/>
            <w:gridSpan w:val="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(да/нет)</w:t>
            </w:r>
          </w:p>
        </w:tc>
        <w:tc>
          <w:tcPr>
            <w:tcW w:w="3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5208" w:type="dxa"/>
            <w:gridSpan w:val="11"/>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3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476" w:type="dxa"/>
            <w:gridSpan w:val="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vAlign w:val="bottom"/>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3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0" w:type="auto"/>
            <w:gridSpan w:val="11"/>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33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476" w:type="dxa"/>
            <w:gridSpan w:val="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(да/нет)</w:t>
            </w:r>
          </w:p>
        </w:tc>
        <w:tc>
          <w:tcPr>
            <w:tcW w:w="372"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12</w:t>
            </w:r>
          </w:p>
        </w:tc>
        <w:tc>
          <w:tcPr>
            <w:tcW w:w="3228" w:type="dxa"/>
            <w:gridSpan w:val="6"/>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Документы, прилагаемые к ходатайству:</w:t>
            </w:r>
          </w:p>
        </w:tc>
        <w:tc>
          <w:tcPr>
            <w:tcW w:w="4104" w:type="dxa"/>
            <w:gridSpan w:val="17"/>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2496" w:type="dxa"/>
            <w:gridSpan w:val="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4908" w:type="dxa"/>
            <w:gridSpan w:val="20"/>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13</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F3F70" w:rsidRPr="00EF3F70" w:rsidTr="00EF3F70">
        <w:trPr>
          <w:tblCellSpacing w:w="0" w:type="dxa"/>
        </w:trPr>
        <w:tc>
          <w:tcPr>
            <w:tcW w:w="588"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14</w:t>
            </w:r>
          </w:p>
        </w:tc>
        <w:tc>
          <w:tcPr>
            <w:tcW w:w="7392" w:type="dxa"/>
            <w:gridSpan w:val="24"/>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EF3F70" w:rsidRPr="00EF3F70" w:rsidTr="00EF3F70">
        <w:trPr>
          <w:tblCellSpacing w:w="0" w:type="dxa"/>
        </w:trPr>
        <w:tc>
          <w:tcPr>
            <w:tcW w:w="588" w:type="dxa"/>
            <w:vMerge w:val="restart"/>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15</w:t>
            </w:r>
          </w:p>
        </w:tc>
        <w:tc>
          <w:tcPr>
            <w:tcW w:w="5208" w:type="dxa"/>
            <w:gridSpan w:val="11"/>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Подпись:</w:t>
            </w:r>
          </w:p>
        </w:tc>
        <w:tc>
          <w:tcPr>
            <w:tcW w:w="2184" w:type="dxa"/>
            <w:gridSpan w:val="1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Дата:</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86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496"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184" w:type="dxa"/>
            <w:gridSpan w:val="1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86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496"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56"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w:t>
            </w:r>
          </w:p>
        </w:tc>
        <w:tc>
          <w:tcPr>
            <w:tcW w:w="26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0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w:t>
            </w:r>
          </w:p>
        </w:tc>
        <w:tc>
          <w:tcPr>
            <w:tcW w:w="804"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8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420" w:type="dxa"/>
            <w:gridSpan w:val="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4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г.</w:t>
            </w:r>
          </w:p>
        </w:tc>
      </w:tr>
      <w:tr w:rsidR="00EF3F70" w:rsidRPr="00EF3F70" w:rsidTr="00EF3F70">
        <w:trPr>
          <w:tblCellSpacing w:w="0" w:type="dxa"/>
        </w:trPr>
        <w:tc>
          <w:tcPr>
            <w:tcW w:w="0" w:type="auto"/>
            <w:vMerge/>
            <w:tcBorders>
              <w:top w:val="single" w:sz="8" w:space="0" w:color="FFFFFF"/>
              <w:left w:val="single" w:sz="8" w:space="0" w:color="FFFFFF"/>
              <w:bottom w:val="single" w:sz="8" w:space="0" w:color="FFFFFF"/>
              <w:right w:val="single" w:sz="8" w:space="0" w:color="FFFFFF"/>
            </w:tcBorders>
            <w:shd w:val="clear" w:color="auto" w:fill="EEEEEE"/>
            <w:vAlign w:val="center"/>
            <w:hideMark/>
          </w:tcPr>
          <w:p w:rsidR="00EF3F70" w:rsidRPr="00EF3F70" w:rsidRDefault="00EF3F70" w:rsidP="00EF3F70">
            <w:pPr>
              <w:spacing w:after="0" w:line="240" w:lineRule="auto"/>
              <w:rPr>
                <w:rFonts w:ascii="Tahoma" w:eastAsia="Times New Roman" w:hAnsi="Tahoma" w:cs="Tahoma"/>
                <w:color w:val="000000"/>
                <w:sz w:val="25"/>
                <w:szCs w:val="25"/>
                <w:lang w:eastAsia="ru-RU"/>
              </w:rPr>
            </w:pPr>
          </w:p>
        </w:tc>
        <w:tc>
          <w:tcPr>
            <w:tcW w:w="7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1860"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(подпись)</w:t>
            </w:r>
          </w:p>
        </w:tc>
        <w:tc>
          <w:tcPr>
            <w:tcW w:w="564"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496" w:type="dxa"/>
            <w:gridSpan w:val="5"/>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(инициалы, фамилия)</w:t>
            </w:r>
          </w:p>
        </w:tc>
        <w:tc>
          <w:tcPr>
            <w:tcW w:w="216" w:type="dxa"/>
            <w:gridSpan w:val="2"/>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c>
          <w:tcPr>
            <w:tcW w:w="2184" w:type="dxa"/>
            <w:gridSpan w:val="13"/>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EF3F70" w:rsidRPr="00EF3F70" w:rsidRDefault="00EF3F70" w:rsidP="00EF3F70">
            <w:pPr>
              <w:spacing w:after="0" w:line="240" w:lineRule="auto"/>
              <w:jc w:val="both"/>
              <w:rPr>
                <w:rFonts w:ascii="Tahoma" w:eastAsia="Times New Roman" w:hAnsi="Tahoma" w:cs="Tahoma"/>
                <w:color w:val="000000"/>
                <w:sz w:val="25"/>
                <w:szCs w:val="25"/>
                <w:lang w:eastAsia="ru-RU"/>
              </w:rPr>
            </w:pPr>
            <w:r w:rsidRPr="00EF3F70">
              <w:rPr>
                <w:rFonts w:ascii="Tahoma" w:eastAsia="Times New Roman" w:hAnsi="Tahoma" w:cs="Tahoma"/>
                <w:color w:val="000000"/>
                <w:sz w:val="25"/>
                <w:szCs w:val="25"/>
                <w:lang w:eastAsia="ru-RU"/>
              </w:rPr>
              <w:t> </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92F35"/>
    <w:multiLevelType w:val="multilevel"/>
    <w:tmpl w:val="0AFC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F3F70"/>
    <w:rsid w:val="00560C54"/>
    <w:rsid w:val="00C46E05"/>
    <w:rsid w:val="00EF3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3F70"/>
    <w:rPr>
      <w:b/>
      <w:bCs/>
    </w:rPr>
  </w:style>
  <w:style w:type="character" w:styleId="a5">
    <w:name w:val="Emphasis"/>
    <w:basedOn w:val="a0"/>
    <w:uiPriority w:val="20"/>
    <w:qFormat/>
    <w:rsid w:val="00EF3F70"/>
    <w:rPr>
      <w:i/>
      <w:iCs/>
    </w:rPr>
  </w:style>
  <w:style w:type="character" w:styleId="a6">
    <w:name w:val="Hyperlink"/>
    <w:basedOn w:val="a0"/>
    <w:uiPriority w:val="99"/>
    <w:semiHidden/>
    <w:unhideWhenUsed/>
    <w:rsid w:val="00EF3F70"/>
    <w:rPr>
      <w:color w:val="0000FF"/>
      <w:u w:val="single"/>
    </w:rPr>
  </w:style>
</w:styles>
</file>

<file path=word/webSettings.xml><?xml version="1.0" encoding="utf-8"?>
<w:webSettings xmlns:r="http://schemas.openxmlformats.org/officeDocument/2006/relationships" xmlns:w="http://schemas.openxmlformats.org/wordprocessingml/2006/main">
  <w:divs>
    <w:div w:id="4303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gosuslugi.ru/" TargetMode="External"/><Relationship Id="rId5" Type="http://schemas.openxmlformats.org/officeDocument/2006/relationships/hyperlink" Target="consultantplus://offline/ref=57F0BFFB1EE315E38C27058BCE15193F74C0F88A281216343EE3FC39C84A126751919CE09D72668DEBB4F05F8C04E507EAD5B7F79DC7r3j1O" TargetMode="Externa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1CD5BF1AD3FF03EB4FF6D8599C32B873FBB76B3C1A1D04130BC27D724BB2199909CF6D80089B6721DBAF19e2q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9095</Words>
  <Characters>51847</Characters>
  <Application>Microsoft Office Word</Application>
  <DocSecurity>0</DocSecurity>
  <Lines>432</Lines>
  <Paragraphs>121</Paragraphs>
  <ScaleCrop>false</ScaleCrop>
  <Company>SPecialiST RePack</Company>
  <LinksUpToDate>false</LinksUpToDate>
  <CharactersWithSpaces>60821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2023-07-27T08:15:00Z</dcterms:created>
  <dcterms:modified xsi:type="dcterms:W3CDTF">2023-07-27T08:15:00Z</dcterms:modified>
</cp:coreProperties>
</file>