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38" w:rsidRPr="006F38FE" w:rsidRDefault="00AC5638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>АДМИНИСТРАЦИЯ</w:t>
      </w:r>
    </w:p>
    <w:p w:rsidR="00AC5638" w:rsidRPr="006F38FE" w:rsidRDefault="003612A7" w:rsidP="00AC5638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>ГОРОДЕНСКОГО</w:t>
      </w:r>
      <w:r w:rsidR="00AC5638" w:rsidRPr="006F38FE">
        <w:rPr>
          <w:rFonts w:ascii="Arial" w:hAnsi="Arial" w:cs="Arial"/>
          <w:b/>
          <w:sz w:val="22"/>
          <w:szCs w:val="22"/>
        </w:rPr>
        <w:t xml:space="preserve"> СЕЛЬСОВЕТА </w:t>
      </w:r>
    </w:p>
    <w:p w:rsidR="00AC5638" w:rsidRPr="006F38FE" w:rsidRDefault="003612A7" w:rsidP="003612A7">
      <w:pPr>
        <w:pStyle w:val="a3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 xml:space="preserve">                               </w:t>
      </w:r>
      <w:r w:rsidR="004E7F01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6F38FE">
        <w:rPr>
          <w:rFonts w:ascii="Arial" w:hAnsi="Arial" w:cs="Arial"/>
          <w:b/>
          <w:sz w:val="22"/>
          <w:szCs w:val="22"/>
        </w:rPr>
        <w:t xml:space="preserve"> ЛЬГО</w:t>
      </w:r>
      <w:r w:rsidR="00AC5638" w:rsidRPr="006F38FE">
        <w:rPr>
          <w:rFonts w:ascii="Arial" w:hAnsi="Arial" w:cs="Arial"/>
          <w:b/>
          <w:sz w:val="22"/>
          <w:szCs w:val="22"/>
        </w:rPr>
        <w:t xml:space="preserve">ВСКОГО РАЙОНА </w:t>
      </w:r>
    </w:p>
    <w:p w:rsidR="00AC5638" w:rsidRPr="006F38FE" w:rsidRDefault="00AC5638" w:rsidP="00AC5638">
      <w:pPr>
        <w:pStyle w:val="a3"/>
        <w:jc w:val="center"/>
        <w:rPr>
          <w:rFonts w:ascii="Arial" w:hAnsi="Arial" w:cs="Arial"/>
          <w:b/>
          <w:sz w:val="22"/>
          <w:szCs w:val="22"/>
        </w:rPr>
      </w:pPr>
    </w:p>
    <w:p w:rsidR="00AC5638" w:rsidRPr="006F38FE" w:rsidRDefault="00AC5638" w:rsidP="00AC5638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>ПОСТАНОВЛЕНИЕ</w:t>
      </w:r>
    </w:p>
    <w:p w:rsidR="00AC5638" w:rsidRDefault="00AC5638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 xml:space="preserve">от </w:t>
      </w:r>
      <w:r w:rsidR="004E7F01">
        <w:rPr>
          <w:rFonts w:ascii="Arial" w:hAnsi="Arial" w:cs="Arial"/>
          <w:b/>
          <w:sz w:val="22"/>
          <w:szCs w:val="22"/>
        </w:rPr>
        <w:t>12</w:t>
      </w:r>
      <w:r w:rsidR="00B46E7F">
        <w:rPr>
          <w:rFonts w:ascii="Arial" w:hAnsi="Arial" w:cs="Arial"/>
          <w:b/>
          <w:sz w:val="22"/>
          <w:szCs w:val="22"/>
        </w:rPr>
        <w:t xml:space="preserve"> ноября</w:t>
      </w:r>
      <w:r w:rsidR="00E078BB" w:rsidRPr="006F38FE">
        <w:rPr>
          <w:rFonts w:ascii="Arial" w:hAnsi="Arial" w:cs="Arial"/>
          <w:b/>
          <w:sz w:val="22"/>
          <w:szCs w:val="22"/>
        </w:rPr>
        <w:t xml:space="preserve"> 2021 года </w:t>
      </w:r>
      <w:r w:rsidRPr="006F38FE">
        <w:rPr>
          <w:rFonts w:ascii="Arial" w:hAnsi="Arial" w:cs="Arial"/>
          <w:b/>
          <w:sz w:val="22"/>
          <w:szCs w:val="22"/>
        </w:rPr>
        <w:t xml:space="preserve"> № </w:t>
      </w:r>
      <w:r w:rsidR="004E7F01">
        <w:rPr>
          <w:rFonts w:ascii="Arial" w:hAnsi="Arial" w:cs="Arial"/>
          <w:b/>
          <w:sz w:val="22"/>
          <w:szCs w:val="22"/>
        </w:rPr>
        <w:t>110</w:t>
      </w:r>
    </w:p>
    <w:p w:rsidR="004E7F01" w:rsidRPr="006F38FE" w:rsidRDefault="004E7F01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</w:p>
    <w:p w:rsidR="00AC5638" w:rsidRPr="006F38FE" w:rsidRDefault="00AC5638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</w:p>
    <w:p w:rsidR="00AC5638" w:rsidRPr="006F38FE" w:rsidRDefault="00453087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 xml:space="preserve"> </w:t>
      </w:r>
      <w:r w:rsidR="00AC5638" w:rsidRPr="006F38FE">
        <w:rPr>
          <w:rFonts w:ascii="Arial" w:hAnsi="Arial" w:cs="Arial"/>
          <w:b/>
          <w:sz w:val="22"/>
          <w:szCs w:val="22"/>
        </w:rPr>
        <w:t>Об утверждении методики</w:t>
      </w:r>
      <w:r w:rsidRPr="006F38FE">
        <w:rPr>
          <w:rFonts w:ascii="Arial" w:hAnsi="Arial" w:cs="Arial"/>
          <w:b/>
          <w:sz w:val="22"/>
          <w:szCs w:val="22"/>
        </w:rPr>
        <w:t xml:space="preserve"> </w:t>
      </w:r>
      <w:r w:rsidR="00AC5638" w:rsidRPr="006F38FE">
        <w:rPr>
          <w:rFonts w:ascii="Arial" w:hAnsi="Arial" w:cs="Arial"/>
          <w:b/>
          <w:sz w:val="22"/>
          <w:szCs w:val="22"/>
        </w:rPr>
        <w:t>прогнозирования  налоговых и</w:t>
      </w:r>
      <w:r w:rsidRPr="006F38FE">
        <w:rPr>
          <w:rFonts w:ascii="Arial" w:hAnsi="Arial" w:cs="Arial"/>
          <w:b/>
          <w:sz w:val="22"/>
          <w:szCs w:val="22"/>
        </w:rPr>
        <w:t xml:space="preserve"> </w:t>
      </w:r>
      <w:r w:rsidR="00AC5638" w:rsidRPr="006F38FE">
        <w:rPr>
          <w:rFonts w:ascii="Arial" w:hAnsi="Arial" w:cs="Arial"/>
          <w:b/>
          <w:sz w:val="22"/>
          <w:szCs w:val="22"/>
        </w:rPr>
        <w:t>неналоговых доходов бюджета</w:t>
      </w:r>
    </w:p>
    <w:p w:rsidR="00AC5638" w:rsidRPr="006F38FE" w:rsidRDefault="00E078BB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 xml:space="preserve">поселения на 2022 год и </w:t>
      </w:r>
      <w:r w:rsidR="00AC5638" w:rsidRPr="006F38FE">
        <w:rPr>
          <w:rFonts w:ascii="Arial" w:hAnsi="Arial" w:cs="Arial"/>
          <w:b/>
          <w:sz w:val="22"/>
          <w:szCs w:val="22"/>
        </w:rPr>
        <w:t>плановый</w:t>
      </w:r>
    </w:p>
    <w:p w:rsidR="00AC5638" w:rsidRPr="006F38FE" w:rsidRDefault="00AC5638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  <w:r w:rsidRPr="006F38FE">
        <w:rPr>
          <w:rFonts w:ascii="Arial" w:hAnsi="Arial" w:cs="Arial"/>
          <w:b/>
          <w:sz w:val="22"/>
          <w:szCs w:val="22"/>
        </w:rPr>
        <w:t>период 2023 и 2024 годов</w:t>
      </w:r>
      <w:r w:rsidR="00453087" w:rsidRPr="006F38FE">
        <w:rPr>
          <w:rFonts w:ascii="Arial" w:hAnsi="Arial" w:cs="Arial"/>
          <w:b/>
          <w:sz w:val="22"/>
          <w:szCs w:val="22"/>
        </w:rPr>
        <w:t xml:space="preserve"> </w:t>
      </w:r>
    </w:p>
    <w:p w:rsidR="00AC5638" w:rsidRPr="006F38FE" w:rsidRDefault="00AC5638" w:rsidP="00453087">
      <w:pPr>
        <w:pStyle w:val="a3"/>
        <w:jc w:val="center"/>
        <w:rPr>
          <w:rFonts w:ascii="Arial" w:hAnsi="Arial" w:cs="Arial"/>
          <w:b/>
          <w:sz w:val="22"/>
          <w:szCs w:val="22"/>
        </w:rPr>
      </w:pPr>
    </w:p>
    <w:p w:rsidR="00AC5638" w:rsidRDefault="00AC5638" w:rsidP="00AC5638">
      <w:pPr>
        <w:pStyle w:val="a3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ind w:firstLine="7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В соответствии со статьей 174.2 Бюджетного кодекса Российской Федерации, Решением </w:t>
      </w:r>
      <w:proofErr w:type="gramStart"/>
      <w:r>
        <w:rPr>
          <w:rFonts w:ascii="Arial" w:hAnsi="Arial" w:cs="Arial"/>
        </w:rPr>
        <w:t xml:space="preserve">Собрания депутатов </w:t>
      </w:r>
      <w:r w:rsidR="003612A7">
        <w:rPr>
          <w:rFonts w:ascii="Arial" w:hAnsi="Arial" w:cs="Arial"/>
        </w:rPr>
        <w:t>Городенского сельсовета Льго</w:t>
      </w:r>
      <w:r>
        <w:rPr>
          <w:rFonts w:ascii="Arial" w:hAnsi="Arial" w:cs="Arial"/>
        </w:rPr>
        <w:t>вского района Курской области</w:t>
      </w:r>
      <w:proofErr w:type="gramEnd"/>
      <w:r w:rsidR="00E078BB" w:rsidRPr="00E078BB">
        <w:rPr>
          <w:rFonts w:ascii="Arial" w:hAnsi="Arial" w:cs="Arial"/>
        </w:rPr>
        <w:t xml:space="preserve"> </w:t>
      </w:r>
      <w:r w:rsidR="00C112CC">
        <w:rPr>
          <w:rFonts w:ascii="Arial" w:hAnsi="Arial" w:cs="Arial"/>
        </w:rPr>
        <w:t>от 21.06.2021 № 36</w:t>
      </w:r>
      <w:r w:rsidR="00E078BB" w:rsidRPr="00E844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«</w:t>
      </w:r>
      <w:r w:rsidR="00E078BB">
        <w:rPr>
          <w:rFonts w:ascii="Arial" w:hAnsi="Arial" w:cs="Arial"/>
        </w:rPr>
        <w:t xml:space="preserve">Об утверждении </w:t>
      </w:r>
      <w:r>
        <w:rPr>
          <w:rFonts w:ascii="Arial" w:hAnsi="Arial" w:cs="Arial"/>
        </w:rPr>
        <w:t>Положени</w:t>
      </w:r>
      <w:r w:rsidR="00E078BB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о бюджетном процессе в </w:t>
      </w:r>
      <w:r w:rsidR="00E078BB">
        <w:rPr>
          <w:rFonts w:ascii="Arial" w:hAnsi="Arial" w:cs="Arial"/>
        </w:rPr>
        <w:t>муниципальном образовании</w:t>
      </w:r>
      <w:r>
        <w:rPr>
          <w:rFonts w:ascii="Arial" w:hAnsi="Arial" w:cs="Arial"/>
        </w:rPr>
        <w:t xml:space="preserve"> «</w:t>
      </w:r>
      <w:r w:rsidR="003612A7">
        <w:rPr>
          <w:rFonts w:ascii="Arial" w:hAnsi="Arial" w:cs="Arial"/>
        </w:rPr>
        <w:t>Городен</w:t>
      </w:r>
      <w:r w:rsidR="00211843">
        <w:rPr>
          <w:rFonts w:ascii="Arial" w:hAnsi="Arial" w:cs="Arial"/>
        </w:rPr>
        <w:t>ский</w:t>
      </w:r>
      <w:r w:rsidR="003612A7">
        <w:rPr>
          <w:rFonts w:ascii="Arial" w:hAnsi="Arial" w:cs="Arial"/>
        </w:rPr>
        <w:t xml:space="preserve"> сельсовет» Льг</w:t>
      </w:r>
      <w:r>
        <w:rPr>
          <w:rFonts w:ascii="Arial" w:hAnsi="Arial" w:cs="Arial"/>
        </w:rPr>
        <w:t>овского</w:t>
      </w:r>
      <w:r w:rsidR="003E0F2D">
        <w:rPr>
          <w:rFonts w:ascii="Arial" w:hAnsi="Arial" w:cs="Arial"/>
        </w:rPr>
        <w:t xml:space="preserve">  района  Кур</w:t>
      </w:r>
      <w:r w:rsidR="00E84459">
        <w:rPr>
          <w:rFonts w:ascii="Arial" w:hAnsi="Arial" w:cs="Arial"/>
        </w:rPr>
        <w:t>ской области»</w:t>
      </w:r>
      <w:r w:rsidR="00E078BB">
        <w:rPr>
          <w:rFonts w:ascii="Arial" w:hAnsi="Arial" w:cs="Arial"/>
        </w:rPr>
        <w:t>,</w:t>
      </w:r>
      <w:r w:rsidR="00E84459">
        <w:rPr>
          <w:rFonts w:ascii="Arial" w:hAnsi="Arial" w:cs="Arial"/>
        </w:rPr>
        <w:t xml:space="preserve"> </w:t>
      </w:r>
      <w:r w:rsidR="00E078BB">
        <w:rPr>
          <w:rFonts w:ascii="Arial" w:hAnsi="Arial" w:cs="Arial"/>
        </w:rPr>
        <w:t xml:space="preserve"> </w:t>
      </w:r>
      <w:r w:rsidR="003612A7">
        <w:rPr>
          <w:rFonts w:ascii="Arial" w:hAnsi="Arial" w:cs="Arial"/>
        </w:rPr>
        <w:t xml:space="preserve"> Администрация Городен</w:t>
      </w:r>
      <w:r w:rsidR="00211843">
        <w:rPr>
          <w:rFonts w:ascii="Arial" w:hAnsi="Arial" w:cs="Arial"/>
        </w:rPr>
        <w:t>ского</w:t>
      </w:r>
      <w:r w:rsidRPr="00E84459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 xml:space="preserve"> </w:t>
      </w:r>
    </w:p>
    <w:p w:rsidR="003E0F2D" w:rsidRDefault="00AC5638" w:rsidP="00AC5638">
      <w:pPr>
        <w:ind w:firstLine="7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:rsidR="00AC5638" w:rsidRDefault="00AC5638" w:rsidP="003E0F2D">
      <w:pPr>
        <w:ind w:firstLine="702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ПОСТАНОВЛЯЕТ:</w:t>
      </w: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методику прогнозирования налоговых и неналоговых доходов бюджета муниципального образования «</w:t>
      </w:r>
      <w:r w:rsidR="003612A7">
        <w:rPr>
          <w:rFonts w:ascii="Arial" w:hAnsi="Arial" w:cs="Arial"/>
          <w:sz w:val="24"/>
          <w:szCs w:val="24"/>
        </w:rPr>
        <w:t>Городен</w:t>
      </w:r>
      <w:r w:rsidR="00211843">
        <w:rPr>
          <w:rFonts w:ascii="Arial" w:hAnsi="Arial" w:cs="Arial"/>
          <w:sz w:val="24"/>
          <w:szCs w:val="24"/>
        </w:rPr>
        <w:t>ский</w:t>
      </w:r>
      <w:r w:rsidR="003612A7">
        <w:rPr>
          <w:rFonts w:ascii="Arial" w:hAnsi="Arial" w:cs="Arial"/>
          <w:sz w:val="24"/>
          <w:szCs w:val="24"/>
        </w:rPr>
        <w:t xml:space="preserve"> сельсовет» Льг</w:t>
      </w:r>
      <w:r>
        <w:rPr>
          <w:rFonts w:ascii="Arial" w:hAnsi="Arial" w:cs="Arial"/>
          <w:sz w:val="24"/>
          <w:szCs w:val="24"/>
        </w:rPr>
        <w:t>овского района Курской области на 2022 год и плановый период 2023 и 2024 годов согласно приложению.</w:t>
      </w:r>
    </w:p>
    <w:p w:rsidR="00211843" w:rsidRDefault="00211843" w:rsidP="00211843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11843" w:rsidRDefault="00211843" w:rsidP="00211843">
      <w:pPr>
        <w:pStyle w:val="a4"/>
        <w:rPr>
          <w:rFonts w:ascii="Arial" w:hAnsi="Arial" w:cs="Arial"/>
        </w:rPr>
      </w:pPr>
    </w:p>
    <w:p w:rsidR="00211843" w:rsidRDefault="00211843" w:rsidP="00211843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 вступает в силу со дня его подписания.</w:t>
      </w:r>
    </w:p>
    <w:p w:rsidR="00AC5638" w:rsidRDefault="00AC5638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145E44" w:rsidRDefault="00145E44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145E44" w:rsidRDefault="00145E44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145E44" w:rsidRDefault="00145E44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</w:p>
    <w:p w:rsidR="00AC5638" w:rsidRDefault="003612A7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ВРИО Главы</w:t>
      </w:r>
      <w:r w:rsidR="00AC56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Городенского </w:t>
      </w:r>
      <w:r w:rsidR="00AC5638">
        <w:rPr>
          <w:rFonts w:ascii="Arial" w:hAnsi="Arial" w:cs="Arial"/>
          <w:sz w:val="24"/>
          <w:szCs w:val="24"/>
        </w:rPr>
        <w:t xml:space="preserve"> сельсовета</w:t>
      </w:r>
    </w:p>
    <w:p w:rsidR="00AC5638" w:rsidRDefault="003612A7" w:rsidP="00AC5638">
      <w:pPr>
        <w:pStyle w:val="a3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</w:t>
      </w:r>
      <w:r w:rsidR="00AC5638">
        <w:rPr>
          <w:rFonts w:ascii="Arial" w:hAnsi="Arial" w:cs="Arial"/>
          <w:sz w:val="24"/>
          <w:szCs w:val="24"/>
        </w:rPr>
        <w:t xml:space="preserve">вского района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Сотникова В.М.</w:t>
      </w: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C26DC" w:rsidRDefault="00BC26DC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11843" w:rsidRDefault="00211843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C5638" w:rsidRDefault="00AC5638" w:rsidP="00AC563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612A7" w:rsidRDefault="003E0F2D" w:rsidP="003E0F2D">
      <w:pPr>
        <w:shd w:val="clear" w:color="auto" w:fill="FFFFFF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  <w:r w:rsidR="00BC26DC">
        <w:rPr>
          <w:b/>
          <w:sz w:val="28"/>
          <w:szCs w:val="28"/>
        </w:rPr>
        <w:t xml:space="preserve">                          </w:t>
      </w:r>
    </w:p>
    <w:p w:rsidR="006F38FE" w:rsidRPr="00C112CC" w:rsidRDefault="003612A7" w:rsidP="003E0F2D">
      <w:pPr>
        <w:shd w:val="clear" w:color="auto" w:fill="FFFFFF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BC26DC">
        <w:rPr>
          <w:b/>
          <w:sz w:val="28"/>
          <w:szCs w:val="28"/>
        </w:rPr>
        <w:t xml:space="preserve"> </w:t>
      </w:r>
    </w:p>
    <w:p w:rsidR="003E0F2D" w:rsidRPr="00453087" w:rsidRDefault="006F38FE" w:rsidP="003E0F2D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C112CC">
        <w:rPr>
          <w:b/>
          <w:sz w:val="28"/>
          <w:szCs w:val="28"/>
        </w:rPr>
        <w:lastRenderedPageBreak/>
        <w:t xml:space="preserve">                                                        </w:t>
      </w:r>
      <w:r w:rsidR="005E2A69">
        <w:rPr>
          <w:b/>
          <w:sz w:val="28"/>
          <w:szCs w:val="28"/>
        </w:rPr>
        <w:t xml:space="preserve"> </w:t>
      </w:r>
      <w:r w:rsidR="003E0F2D" w:rsidRPr="00453087">
        <w:rPr>
          <w:rFonts w:ascii="Arial" w:hAnsi="Arial" w:cs="Arial"/>
        </w:rPr>
        <w:t>Приложение</w:t>
      </w:r>
      <w:r w:rsidR="003E0F2D" w:rsidRPr="00453087">
        <w:rPr>
          <w:rFonts w:ascii="Arial" w:hAnsi="Arial" w:cs="Arial"/>
          <w:b/>
          <w:sz w:val="28"/>
          <w:szCs w:val="28"/>
        </w:rPr>
        <w:t xml:space="preserve">  </w:t>
      </w:r>
    </w:p>
    <w:p w:rsidR="003E0F2D" w:rsidRPr="00453087" w:rsidRDefault="003E0F2D" w:rsidP="003E0F2D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453087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453087">
        <w:rPr>
          <w:rFonts w:ascii="Arial" w:hAnsi="Arial" w:cs="Arial"/>
          <w:b/>
          <w:sz w:val="28"/>
          <w:szCs w:val="28"/>
        </w:rPr>
        <w:t xml:space="preserve">                          </w:t>
      </w:r>
      <w:r w:rsidRPr="00453087">
        <w:rPr>
          <w:rFonts w:ascii="Arial" w:hAnsi="Arial" w:cs="Arial"/>
        </w:rPr>
        <w:t>к постановлению</w:t>
      </w:r>
      <w:r w:rsidRPr="00453087">
        <w:rPr>
          <w:rFonts w:ascii="Arial" w:hAnsi="Arial" w:cs="Arial"/>
          <w:b/>
          <w:sz w:val="28"/>
          <w:szCs w:val="28"/>
        </w:rPr>
        <w:t xml:space="preserve"> </w:t>
      </w:r>
      <w:r w:rsidRPr="00453087">
        <w:rPr>
          <w:rFonts w:ascii="Arial" w:hAnsi="Arial" w:cs="Arial"/>
        </w:rPr>
        <w:t>Администрации</w:t>
      </w:r>
      <w:r w:rsidRPr="00453087">
        <w:rPr>
          <w:rFonts w:ascii="Arial" w:hAnsi="Arial" w:cs="Arial"/>
          <w:b/>
          <w:sz w:val="28"/>
          <w:szCs w:val="28"/>
        </w:rPr>
        <w:t xml:space="preserve"> </w:t>
      </w:r>
    </w:p>
    <w:p w:rsidR="003E0F2D" w:rsidRPr="00453087" w:rsidRDefault="003E0F2D" w:rsidP="003E0F2D">
      <w:pPr>
        <w:shd w:val="clear" w:color="auto" w:fill="FFFFFF"/>
        <w:ind w:right="-1"/>
        <w:jc w:val="center"/>
        <w:rPr>
          <w:rFonts w:ascii="Arial" w:hAnsi="Arial" w:cs="Arial"/>
        </w:rPr>
      </w:pPr>
      <w:r w:rsidRPr="00453087"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  <w:r w:rsidR="00453087">
        <w:rPr>
          <w:rFonts w:ascii="Arial" w:hAnsi="Arial" w:cs="Arial"/>
          <w:b/>
          <w:sz w:val="28"/>
          <w:szCs w:val="28"/>
        </w:rPr>
        <w:t xml:space="preserve">                     </w:t>
      </w:r>
      <w:r w:rsidR="003612A7">
        <w:rPr>
          <w:rFonts w:ascii="Arial" w:hAnsi="Arial" w:cs="Arial"/>
        </w:rPr>
        <w:t>Городен</w:t>
      </w:r>
      <w:r w:rsidR="00211843">
        <w:rPr>
          <w:rFonts w:ascii="Arial" w:hAnsi="Arial" w:cs="Arial"/>
        </w:rPr>
        <w:t>ского</w:t>
      </w:r>
      <w:r w:rsidRPr="00453087">
        <w:rPr>
          <w:rFonts w:ascii="Arial" w:hAnsi="Arial" w:cs="Arial"/>
        </w:rPr>
        <w:t xml:space="preserve"> сельсовета</w:t>
      </w:r>
    </w:p>
    <w:p w:rsidR="005E2A69" w:rsidRPr="00453087" w:rsidRDefault="003E0F2D" w:rsidP="003E0F2D">
      <w:pPr>
        <w:shd w:val="clear" w:color="auto" w:fill="FFFFFF"/>
        <w:ind w:right="-1"/>
        <w:jc w:val="center"/>
        <w:rPr>
          <w:rFonts w:ascii="Arial" w:hAnsi="Arial" w:cs="Arial"/>
        </w:rPr>
      </w:pPr>
      <w:r w:rsidRPr="00453087">
        <w:rPr>
          <w:rFonts w:ascii="Arial" w:hAnsi="Arial" w:cs="Arial"/>
        </w:rPr>
        <w:t xml:space="preserve">                                                                   </w:t>
      </w:r>
      <w:r w:rsidR="00453087">
        <w:rPr>
          <w:rFonts w:ascii="Arial" w:hAnsi="Arial" w:cs="Arial"/>
        </w:rPr>
        <w:t xml:space="preserve">                   </w:t>
      </w:r>
      <w:r w:rsidR="003612A7">
        <w:rPr>
          <w:rFonts w:ascii="Arial" w:hAnsi="Arial" w:cs="Arial"/>
        </w:rPr>
        <w:t>Льг</w:t>
      </w:r>
      <w:r w:rsidRPr="00453087">
        <w:rPr>
          <w:rFonts w:ascii="Arial" w:hAnsi="Arial" w:cs="Arial"/>
        </w:rPr>
        <w:t>овского района</w:t>
      </w:r>
    </w:p>
    <w:p w:rsidR="003E0F2D" w:rsidRPr="003E0F2D" w:rsidRDefault="005E2A69" w:rsidP="003E0F2D">
      <w:pPr>
        <w:shd w:val="clear" w:color="auto" w:fill="FFFFFF"/>
        <w:ind w:right="-1"/>
        <w:jc w:val="center"/>
      </w:pPr>
      <w:r w:rsidRPr="00453087">
        <w:rPr>
          <w:rFonts w:ascii="Arial" w:hAnsi="Arial" w:cs="Arial"/>
        </w:rPr>
        <w:t xml:space="preserve">                                                                     </w:t>
      </w:r>
      <w:r w:rsidR="00453087">
        <w:rPr>
          <w:rFonts w:ascii="Arial" w:hAnsi="Arial" w:cs="Arial"/>
        </w:rPr>
        <w:t xml:space="preserve">   </w:t>
      </w:r>
      <w:r w:rsidRPr="00453087">
        <w:rPr>
          <w:rFonts w:ascii="Arial" w:hAnsi="Arial" w:cs="Arial"/>
        </w:rPr>
        <w:t xml:space="preserve">от  </w:t>
      </w:r>
      <w:r w:rsidR="004E7F01">
        <w:rPr>
          <w:rFonts w:ascii="Arial" w:hAnsi="Arial" w:cs="Arial"/>
        </w:rPr>
        <w:t xml:space="preserve">12 ноября </w:t>
      </w:r>
      <w:r w:rsidRPr="00453087">
        <w:rPr>
          <w:rFonts w:ascii="Arial" w:hAnsi="Arial" w:cs="Arial"/>
        </w:rPr>
        <w:t>2021 года  №</w:t>
      </w:r>
      <w:r w:rsidR="004E7F01">
        <w:rPr>
          <w:rFonts w:ascii="Arial" w:hAnsi="Arial" w:cs="Arial"/>
        </w:rPr>
        <w:t xml:space="preserve"> 110</w:t>
      </w:r>
      <w:r w:rsidR="003E0F2D" w:rsidRPr="00453087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3E0F2D" w:rsidRDefault="003E0F2D">
      <w:pPr>
        <w:shd w:val="clear" w:color="auto" w:fill="FFFFFF"/>
        <w:ind w:right="-1"/>
        <w:jc w:val="center"/>
        <w:rPr>
          <w:b/>
          <w:sz w:val="28"/>
          <w:szCs w:val="28"/>
        </w:rPr>
      </w:pPr>
    </w:p>
    <w:p w:rsidR="00FD16B4" w:rsidRPr="00BC26DC" w:rsidRDefault="00FD16B4">
      <w:pPr>
        <w:shd w:val="clear" w:color="auto" w:fill="FFFFFF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BC26DC">
        <w:rPr>
          <w:rFonts w:ascii="Arial" w:hAnsi="Arial" w:cs="Arial"/>
          <w:b/>
          <w:sz w:val="32"/>
          <w:szCs w:val="32"/>
        </w:rPr>
        <w:t>Методика</w:t>
      </w:r>
    </w:p>
    <w:p w:rsidR="00FD16B4" w:rsidRPr="00BC26DC" w:rsidRDefault="00FD16B4">
      <w:pPr>
        <w:shd w:val="clear" w:color="auto" w:fill="FFFFFF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BC26DC">
        <w:rPr>
          <w:rFonts w:ascii="Arial" w:hAnsi="Arial" w:cs="Arial"/>
          <w:b/>
          <w:sz w:val="32"/>
          <w:szCs w:val="32"/>
        </w:rPr>
        <w:t>прогнозирования налоговых и неналоговых доходов областного бюджета и местных бюджетов для построения межбюджетных отношений между областным бюджетом и бюджетами муниципальных образований на 2022 год и на плановый период 2023 и 2024 годов.</w:t>
      </w:r>
    </w:p>
    <w:p w:rsidR="00FD16B4" w:rsidRDefault="00FD16B4">
      <w:pPr>
        <w:shd w:val="clear" w:color="auto" w:fill="FFFFFF"/>
        <w:ind w:right="-1" w:firstLine="709"/>
        <w:rPr>
          <w:b/>
          <w:bCs/>
          <w:color w:val="000000"/>
          <w:spacing w:val="-10"/>
          <w:sz w:val="28"/>
          <w:szCs w:val="28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Доходная база консолидированного бюджета области на 2022 – 2024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При внесении в действующее налоговое законодательство изменений и дополнений методика прогнозирования отдельных налогов может быть уточнена.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bCs/>
          <w:color w:val="000000"/>
          <w:u w:val="single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b/>
        </w:rPr>
      </w:pPr>
      <w:r w:rsidRPr="00BC26DC">
        <w:rPr>
          <w:rFonts w:ascii="Arial" w:hAnsi="Arial" w:cs="Arial"/>
          <w:b/>
          <w:bCs/>
        </w:rPr>
        <w:t xml:space="preserve">Налог на прибыль организаций </w:t>
      </w:r>
      <w:r w:rsidRPr="00BC26DC">
        <w:rPr>
          <w:rFonts w:ascii="Arial" w:hAnsi="Arial" w:cs="Arial"/>
          <w:b/>
        </w:rPr>
        <w:t xml:space="preserve">(код </w:t>
      </w:r>
      <w:r w:rsidRPr="00BC26DC">
        <w:rPr>
          <w:rFonts w:ascii="Arial" w:hAnsi="Arial" w:cs="Arial"/>
          <w:b/>
          <w:snapToGrid w:val="0"/>
        </w:rPr>
        <w:t>1 01 01000 00 0000 110</w:t>
      </w:r>
      <w:r w:rsidRPr="00BC26DC">
        <w:rPr>
          <w:rFonts w:ascii="Arial" w:hAnsi="Arial" w:cs="Arial"/>
          <w:b/>
        </w:rPr>
        <w:t>)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</w:rPr>
      </w:pPr>
      <w:proofErr w:type="gramStart"/>
      <w:r w:rsidRPr="00BC26DC">
        <w:rPr>
          <w:rFonts w:ascii="Arial" w:hAnsi="Arial" w:cs="Arial"/>
          <w:color w:val="000000"/>
        </w:rPr>
        <w:t>Поступление налога на прибыль организаций, (за исключением консолидированных групп налогоплательщиков), зачисляемый в бюджеты субъектов Российской Федерации (код 1 01 01012 02 0000 11</w:t>
      </w:r>
      <w:r w:rsidR="00E078BB" w:rsidRPr="00BC26DC">
        <w:rPr>
          <w:rFonts w:ascii="Arial" w:hAnsi="Arial" w:cs="Arial"/>
          <w:color w:val="000000"/>
        </w:rPr>
        <w:t>0)</w:t>
      </w:r>
      <w:r w:rsidRPr="00BC26DC">
        <w:rPr>
          <w:rFonts w:ascii="Arial" w:hAnsi="Arial" w:cs="Arial"/>
          <w:color w:val="000000"/>
        </w:rPr>
        <w:t xml:space="preserve"> на 2022 – 2024 годы рассчитывается исходя из объема прибыли по прибыльным организациям в соответствии с прогнозом основных показателей социально-экономического развития Курской области на </w:t>
      </w:r>
      <w:r w:rsidRPr="00BC26DC">
        <w:rPr>
          <w:rFonts w:ascii="Arial" w:hAnsi="Arial" w:cs="Arial"/>
        </w:rPr>
        <w:t>2022 – 2024 годы, уменьшенной на сумму прибыли сельскохозяйственных товаропроизводителей, поскольку для сельскохозяйственных товаропроизводителей налоговая</w:t>
      </w:r>
      <w:proofErr w:type="gramEnd"/>
      <w:r w:rsidRPr="00BC26DC">
        <w:rPr>
          <w:rFonts w:ascii="Arial" w:hAnsi="Arial" w:cs="Arial"/>
        </w:rPr>
        <w:t xml:space="preserve"> ставка по деятельности, связанной с реализацией произведенной и переработанной сельскохозяйственной продукции устанавливается в размере 0 процентов, и действующей ставки налога в размере 17% в 2022 – 2024 годах, а также с учетом сведений по прогнозу поступления налога от крупнейшего налогоплательщика.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</w:rPr>
      </w:pPr>
      <w:proofErr w:type="gramStart"/>
      <w:r w:rsidRPr="00BC26DC">
        <w:rPr>
          <w:rFonts w:ascii="Arial" w:hAnsi="Arial" w:cs="Arial"/>
        </w:rPr>
        <w:t xml:space="preserve">Сумма поступлений налога увеличивается на платежи организаций, находящихся за пределами Курской области и уплачивающих налог на прибыль за обособленные подразделения, расположенные на территории области, которые определяются исходя из фактического поступления налога </w:t>
      </w:r>
      <w:r w:rsidRPr="00BC26DC">
        <w:rPr>
          <w:rFonts w:ascii="Arial" w:hAnsi="Arial" w:cs="Arial"/>
          <w:color w:val="000000"/>
        </w:rPr>
        <w:t>за 2020 год</w:t>
      </w:r>
      <w:r w:rsidRPr="00BC26DC">
        <w:rPr>
          <w:rFonts w:ascii="Arial" w:hAnsi="Arial" w:cs="Arial"/>
        </w:rPr>
        <w:t xml:space="preserve"> по обособленным подразделениям (на основании сведений УФНС России по Курской области), ежегодно скорректированного на индекс объемо</w:t>
      </w:r>
      <w:r w:rsidR="005E2A69" w:rsidRPr="00BC26DC">
        <w:rPr>
          <w:rFonts w:ascii="Arial" w:hAnsi="Arial" w:cs="Arial"/>
        </w:rPr>
        <w:t>в промышленной продукции на 2022</w:t>
      </w:r>
      <w:r w:rsidRPr="00BC26DC">
        <w:rPr>
          <w:rFonts w:ascii="Arial" w:hAnsi="Arial" w:cs="Arial"/>
        </w:rPr>
        <w:t xml:space="preserve"> – 2024 годы.</w:t>
      </w:r>
      <w:proofErr w:type="gramEnd"/>
    </w:p>
    <w:p w:rsidR="00FD16B4" w:rsidRPr="00BC26DC" w:rsidRDefault="00FD16B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C26DC">
        <w:rPr>
          <w:rFonts w:ascii="Arial" w:hAnsi="Arial" w:cs="Arial"/>
        </w:rPr>
        <w:t xml:space="preserve">Сумма поступлений налога в 2023 и 2024 годах также увеличивается на платежи организаций, которые ранее входили в консолидированную группу </w:t>
      </w:r>
      <w:r w:rsidRPr="00BC26DC">
        <w:rPr>
          <w:rFonts w:ascii="Arial" w:hAnsi="Arial" w:cs="Arial"/>
        </w:rPr>
        <w:lastRenderedPageBreak/>
        <w:t>налогоплательщиков, действующую до 1 января 2023 года в соответствии с Федеральным законом от 03.08.2018 № 302-ФЗ.</w:t>
      </w:r>
    </w:p>
    <w:p w:rsidR="00FD16B4" w:rsidRDefault="00FD16B4">
      <w:pPr>
        <w:ind w:right="-1" w:firstLine="709"/>
        <w:jc w:val="both"/>
        <w:rPr>
          <w:rFonts w:ascii="Arial" w:hAnsi="Arial" w:cs="Arial"/>
        </w:rPr>
      </w:pPr>
      <w:r w:rsidRPr="00BC26DC">
        <w:rPr>
          <w:rFonts w:ascii="Arial" w:hAnsi="Arial" w:cs="Arial"/>
          <w:color w:val="000000"/>
        </w:rPr>
        <w:t>На</w:t>
      </w:r>
      <w:r w:rsidRPr="00BC26DC">
        <w:rPr>
          <w:rFonts w:ascii="Arial" w:hAnsi="Arial" w:cs="Arial"/>
        </w:rPr>
        <w:t xml:space="preserve">лог на прибыль организаций консолидированных групп налогоплательщиков, зачисляемый в бюджеты субъектов Российской Федерации (код </w:t>
      </w:r>
      <w:r w:rsidRPr="00BC26DC">
        <w:rPr>
          <w:rFonts w:ascii="Arial" w:hAnsi="Arial" w:cs="Arial"/>
          <w:color w:val="000000"/>
        </w:rPr>
        <w:t>1 01 01014 02 0000 110), на 2022 – 2023 годы</w:t>
      </w:r>
      <w:r w:rsidRPr="00BC26DC">
        <w:rPr>
          <w:rFonts w:ascii="Arial" w:hAnsi="Arial" w:cs="Arial"/>
        </w:rPr>
        <w:t xml:space="preserve"> определяется на основании сведений о поступлении налога на прибыль организаций от ответственных участников консолидированной группы налогоплательщиков, представленных межрегиональными инспекциями ФНС России по крупнейшим налогоплательщикам.</w:t>
      </w:r>
    </w:p>
    <w:p w:rsidR="00BC26DC" w:rsidRPr="00BC26DC" w:rsidRDefault="00BC26DC">
      <w:pPr>
        <w:ind w:right="-1" w:firstLine="709"/>
        <w:jc w:val="both"/>
        <w:rPr>
          <w:rFonts w:ascii="Arial" w:hAnsi="Arial" w:cs="Arial"/>
        </w:rPr>
      </w:pPr>
    </w:p>
    <w:p w:rsidR="00FD16B4" w:rsidRPr="00BC26DC" w:rsidRDefault="00FD16B4">
      <w:pPr>
        <w:ind w:right="-1" w:firstLine="709"/>
        <w:jc w:val="both"/>
        <w:rPr>
          <w:rFonts w:ascii="Arial" w:hAnsi="Arial" w:cs="Arial"/>
          <w:b/>
          <w:color w:val="000000"/>
        </w:rPr>
      </w:pPr>
      <w:r w:rsidRPr="00BC26DC">
        <w:rPr>
          <w:rFonts w:ascii="Arial" w:hAnsi="Arial" w:cs="Arial"/>
          <w:b/>
          <w:bCs/>
          <w:color w:val="000000"/>
        </w:rPr>
        <w:t xml:space="preserve">Налог на доходы физических лиц </w:t>
      </w:r>
      <w:r w:rsidRPr="00BC26DC">
        <w:rPr>
          <w:rFonts w:ascii="Arial" w:hAnsi="Arial" w:cs="Arial"/>
          <w:b/>
          <w:color w:val="000000"/>
        </w:rPr>
        <w:t xml:space="preserve">(код </w:t>
      </w:r>
      <w:r w:rsidRPr="00BC26DC">
        <w:rPr>
          <w:rFonts w:ascii="Arial" w:hAnsi="Arial" w:cs="Arial"/>
          <w:b/>
          <w:snapToGrid w:val="0"/>
          <w:color w:val="000000"/>
        </w:rPr>
        <w:t>1 01 02000 01 0000 110</w:t>
      </w:r>
      <w:r w:rsidRPr="00BC26DC">
        <w:rPr>
          <w:rFonts w:ascii="Arial" w:hAnsi="Arial" w:cs="Arial"/>
          <w:b/>
          <w:color w:val="000000"/>
        </w:rPr>
        <w:t>)</w:t>
      </w:r>
    </w:p>
    <w:p w:rsidR="00FD16B4" w:rsidRPr="00BC26DC" w:rsidRDefault="00FD16B4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proofErr w:type="gramStart"/>
      <w:r w:rsidRPr="00BC26DC">
        <w:rPr>
          <w:color w:val="000000"/>
          <w:sz w:val="24"/>
          <w:szCs w:val="24"/>
        </w:rPr>
        <w:t xml:space="preserve">Налог на доходы физических лиц </w:t>
      </w:r>
      <w:r w:rsidRPr="00BC26DC">
        <w:rPr>
          <w:sz w:val="24"/>
          <w:szCs w:val="24"/>
        </w:rPr>
        <w:t xml:space="preserve">с доходов, источником которых является налоговый агент, за исключением доходов, в отношении которых исчисление и уплата налога осуществляются в соответствии со </w:t>
      </w:r>
      <w:hyperlink r:id="rId5" w:history="1">
        <w:r w:rsidRPr="00BC26DC">
          <w:rPr>
            <w:sz w:val="24"/>
            <w:szCs w:val="24"/>
          </w:rPr>
          <w:t>статьями 227</w:t>
        </w:r>
      </w:hyperlink>
      <w:r w:rsidRPr="00BC26DC">
        <w:rPr>
          <w:sz w:val="24"/>
          <w:szCs w:val="24"/>
        </w:rPr>
        <w:t xml:space="preserve">, </w:t>
      </w:r>
      <w:hyperlink r:id="rId6" w:history="1">
        <w:r w:rsidRPr="00BC26DC">
          <w:rPr>
            <w:sz w:val="24"/>
            <w:szCs w:val="24"/>
          </w:rPr>
          <w:t>227.1</w:t>
        </w:r>
      </w:hyperlink>
      <w:r w:rsidRPr="00BC26DC">
        <w:rPr>
          <w:sz w:val="24"/>
          <w:szCs w:val="24"/>
        </w:rPr>
        <w:t xml:space="preserve"> и </w:t>
      </w:r>
      <w:hyperlink r:id="rId7" w:history="1">
        <w:r w:rsidRPr="00BC26DC">
          <w:rPr>
            <w:sz w:val="24"/>
            <w:szCs w:val="24"/>
          </w:rPr>
          <w:t>228</w:t>
        </w:r>
      </w:hyperlink>
      <w:r w:rsidRPr="00BC26DC">
        <w:rPr>
          <w:sz w:val="24"/>
          <w:szCs w:val="24"/>
        </w:rPr>
        <w:t xml:space="preserve"> Налогового кодекса Российской Федерации (код </w:t>
      </w:r>
      <w:r w:rsidRPr="00BC26DC">
        <w:rPr>
          <w:snapToGrid w:val="0"/>
          <w:sz w:val="24"/>
          <w:szCs w:val="24"/>
        </w:rPr>
        <w:t>1 01 02010 01 0000 110</w:t>
      </w:r>
      <w:r w:rsidRPr="00BC26DC">
        <w:rPr>
          <w:sz w:val="24"/>
          <w:szCs w:val="24"/>
        </w:rPr>
        <w:t xml:space="preserve">) </w:t>
      </w:r>
      <w:r w:rsidRPr="00BC26DC">
        <w:rPr>
          <w:color w:val="000000"/>
          <w:sz w:val="24"/>
          <w:szCs w:val="24"/>
        </w:rPr>
        <w:t xml:space="preserve">рассчитывается по двум вариантам и принимается средний из них. </w:t>
      </w:r>
      <w:proofErr w:type="gramEnd"/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Первый вариант – сумма налога определяется исходя из ожидаемого поступления налога в 2021 году, скорректированного на темпы роста (снижения) фонда заработной платы на 2022 год.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Ожидаемое поступление налога в 2021 году рассчитывается исходя из фактических поступлений сумм налога за 6 месяцев 2021 года и среднего удельного веса поступлений за соответствующие периоды 2018, 2019 и 2020 годов в фактических годовых поступлениях. 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 2022 год, и ставки налога в размере 13%.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Прогнозируемая сумма поступления налога на 2023 – 2024 годы также рассчитывается по двум вариантам и принимается </w:t>
      </w:r>
      <w:proofErr w:type="gramStart"/>
      <w:r w:rsidRPr="00BC26DC">
        <w:rPr>
          <w:rFonts w:ascii="Arial" w:hAnsi="Arial" w:cs="Arial"/>
          <w:color w:val="000000"/>
        </w:rPr>
        <w:t>средний</w:t>
      </w:r>
      <w:proofErr w:type="gramEnd"/>
      <w:r w:rsidRPr="00BC26DC">
        <w:rPr>
          <w:rFonts w:ascii="Arial" w:hAnsi="Arial" w:cs="Arial"/>
          <w:color w:val="000000"/>
        </w:rPr>
        <w:t xml:space="preserve"> из них.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Первый вариант – сумма налога на 2023 – 2024 годы определяется исходя из прогнозируемого поступления налога в 2022 году по первому варианту, скорректированного на ежегодные темпы роста (снижения) фонда заработной платы на 2023 – 2024 годы.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Второй вариант – сумма налога на 2023 – 2024 годы определяется исходя из фонда заработной платы, планируемого комитетом по экономике и развитию Курской области на 2023–2024 годы, и ставки налога в размере 13%.</w:t>
      </w:r>
    </w:p>
    <w:p w:rsidR="00FD16B4" w:rsidRPr="00BC26DC" w:rsidRDefault="00FD16B4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proofErr w:type="gramStart"/>
      <w:r w:rsidRPr="00BC26DC">
        <w:rPr>
          <w:rFonts w:ascii="Arial" w:hAnsi="Arial" w:cs="Arial"/>
          <w:color w:val="000000"/>
        </w:rPr>
        <w:t xml:space="preserve">Налог на доходы физических лиц </w:t>
      </w:r>
      <w:r w:rsidRPr="00BC26DC">
        <w:rPr>
          <w:rFonts w:ascii="Arial" w:hAnsi="Arial" w:cs="Arial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BC26DC">
          <w:rPr>
            <w:rFonts w:ascii="Arial" w:hAnsi="Arial" w:cs="Arial"/>
          </w:rPr>
          <w:t>статьей 227</w:t>
        </w:r>
      </w:hyperlink>
      <w:r w:rsidRPr="00BC26DC">
        <w:rPr>
          <w:rFonts w:ascii="Arial" w:hAnsi="Arial" w:cs="Arial"/>
        </w:rPr>
        <w:t xml:space="preserve"> Налогового кодекса Российской Федерации, </w:t>
      </w:r>
      <w:r w:rsidRPr="00BC26DC">
        <w:rPr>
          <w:rFonts w:ascii="Arial" w:hAnsi="Arial" w:cs="Arial"/>
          <w:color w:val="000000"/>
        </w:rPr>
        <w:t xml:space="preserve">(код </w:t>
      </w:r>
      <w:r w:rsidRPr="00BC26DC">
        <w:rPr>
          <w:rFonts w:ascii="Arial" w:hAnsi="Arial" w:cs="Arial"/>
          <w:snapToGrid w:val="0"/>
          <w:color w:val="000000"/>
        </w:rPr>
        <w:t>1 01 02020 01 0000 110</w:t>
      </w:r>
      <w:r w:rsidRPr="00BC26DC">
        <w:rPr>
          <w:rFonts w:ascii="Arial" w:hAnsi="Arial" w:cs="Arial"/>
          <w:color w:val="000000"/>
          <w:spacing w:val="-8"/>
        </w:rPr>
        <w:t xml:space="preserve">) </w:t>
      </w:r>
      <w:r w:rsidRPr="00BC26DC">
        <w:rPr>
          <w:rFonts w:ascii="Arial" w:hAnsi="Arial" w:cs="Arial"/>
          <w:color w:val="000000"/>
        </w:rPr>
        <w:t>рассчитывается исходя из ожидаемого поступления налога в 2021 году, скорректированного на ежегодные</w:t>
      </w:r>
      <w:proofErr w:type="gramEnd"/>
      <w:r w:rsidRPr="00BC26DC">
        <w:rPr>
          <w:rFonts w:ascii="Arial" w:hAnsi="Arial" w:cs="Arial"/>
          <w:color w:val="000000"/>
        </w:rPr>
        <w:t xml:space="preserve"> темпы роста (снижения) фонда заработной платы в 2022 – 2024 годах. </w:t>
      </w:r>
    </w:p>
    <w:p w:rsidR="00FD16B4" w:rsidRPr="00BC26DC" w:rsidRDefault="00FD16B4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BC26DC">
        <w:rPr>
          <w:color w:val="000000"/>
          <w:sz w:val="24"/>
          <w:szCs w:val="24"/>
        </w:rPr>
        <w:t>Ожидаемое поступление налога в 2021 году рассчитывается исходя из среднего фактического поступления сумм налога в 2019 и 2020 годах.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Прогноз поступлений налога на доходы физических лиц </w:t>
      </w:r>
      <w:r w:rsidRPr="00BC26DC">
        <w:rPr>
          <w:rFonts w:ascii="Arial" w:hAnsi="Arial" w:cs="Arial"/>
        </w:rPr>
        <w:t xml:space="preserve">с доходов, полученных физическими лицами в соответствии со </w:t>
      </w:r>
      <w:hyperlink r:id="rId9" w:history="1">
        <w:r w:rsidRPr="00BC26DC">
          <w:rPr>
            <w:rFonts w:ascii="Arial" w:hAnsi="Arial" w:cs="Arial"/>
          </w:rPr>
          <w:t>статьей 228</w:t>
        </w:r>
      </w:hyperlink>
      <w:r w:rsidRPr="00BC26DC">
        <w:rPr>
          <w:rFonts w:ascii="Arial" w:hAnsi="Arial" w:cs="Arial"/>
        </w:rPr>
        <w:t xml:space="preserve"> Налогового кодекса Российской Федерации </w:t>
      </w:r>
      <w:r w:rsidRPr="00BC26DC">
        <w:rPr>
          <w:rFonts w:ascii="Arial" w:hAnsi="Arial" w:cs="Arial"/>
          <w:color w:val="000000"/>
        </w:rPr>
        <w:t xml:space="preserve">(код </w:t>
      </w:r>
      <w:r w:rsidRPr="00BC26DC">
        <w:rPr>
          <w:rFonts w:ascii="Arial" w:hAnsi="Arial" w:cs="Arial"/>
          <w:snapToGrid w:val="0"/>
          <w:color w:val="000000"/>
        </w:rPr>
        <w:t>1 01 02030 01 0000 110</w:t>
      </w:r>
      <w:r w:rsidRPr="00BC26DC">
        <w:rPr>
          <w:rFonts w:ascii="Arial" w:hAnsi="Arial" w:cs="Arial"/>
          <w:color w:val="000000"/>
          <w:spacing w:val="-8"/>
        </w:rPr>
        <w:t xml:space="preserve">) </w:t>
      </w:r>
      <w:r w:rsidRPr="00BC26DC">
        <w:rPr>
          <w:rFonts w:ascii="Arial" w:hAnsi="Arial" w:cs="Arial"/>
          <w:color w:val="000000"/>
        </w:rPr>
        <w:t>в 2022 – 2024 годах определяется на уровне ожидаемого поступления налога в 2021 году.</w:t>
      </w:r>
    </w:p>
    <w:p w:rsidR="00FD16B4" w:rsidRPr="00BC26DC" w:rsidRDefault="00FD16B4">
      <w:pPr>
        <w:pStyle w:val="ConsPlusNormal"/>
        <w:ind w:right="-1" w:firstLine="709"/>
        <w:jc w:val="both"/>
        <w:rPr>
          <w:color w:val="000000"/>
          <w:sz w:val="24"/>
          <w:szCs w:val="24"/>
        </w:rPr>
      </w:pPr>
      <w:r w:rsidRPr="00BC26DC">
        <w:rPr>
          <w:rFonts w:eastAsia="Calibri"/>
          <w:color w:val="000000"/>
          <w:sz w:val="24"/>
          <w:szCs w:val="24"/>
        </w:rPr>
        <w:lastRenderedPageBreak/>
        <w:t>Ожидаемое поступление налога в 2021 году определяется на уровне фактического поступления налога в 2020 году.</w:t>
      </w: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ind w:right="-1" w:firstLine="709"/>
        <w:jc w:val="both"/>
        <w:rPr>
          <w:rFonts w:ascii="Arial" w:hAnsi="Arial" w:cs="Arial"/>
          <w:color w:val="000000"/>
        </w:rPr>
      </w:pPr>
      <w:proofErr w:type="gramStart"/>
      <w:r w:rsidRPr="00BC26DC">
        <w:rPr>
          <w:rFonts w:ascii="Arial" w:hAnsi="Arial" w:cs="Arial"/>
          <w:bCs/>
          <w:color w:val="000000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 w:rsidRPr="00BC26DC">
        <w:rPr>
          <w:rFonts w:ascii="Arial" w:hAnsi="Arial" w:cs="Arial"/>
        </w:rPr>
        <w:t xml:space="preserve"> (код 1 01 02040 01 0000 110), </w:t>
      </w:r>
      <w:r w:rsidRPr="00BC26DC">
        <w:rPr>
          <w:rFonts w:ascii="Arial" w:hAnsi="Arial" w:cs="Arial"/>
          <w:color w:val="000000"/>
        </w:rPr>
        <w:t>рассчитывается исходя из ожидаемого поступления налога в 2021 году, скорректированного на сводные индексы потребительских цен (все товары и</w:t>
      </w:r>
      <w:proofErr w:type="gramEnd"/>
      <w:r w:rsidRPr="00BC26DC">
        <w:rPr>
          <w:rFonts w:ascii="Arial" w:hAnsi="Arial" w:cs="Arial"/>
          <w:color w:val="000000"/>
        </w:rPr>
        <w:t xml:space="preserve"> платные услуги), прогнозируемые в целом по Курской области на 2022 – 2024 годы.</w:t>
      </w:r>
    </w:p>
    <w:p w:rsidR="00FD16B4" w:rsidRPr="00BC26DC" w:rsidRDefault="00FD16B4">
      <w:pPr>
        <w:pStyle w:val="ConsNormal"/>
        <w:widowControl/>
        <w:ind w:right="-1" w:firstLine="709"/>
        <w:jc w:val="both"/>
        <w:rPr>
          <w:color w:val="000000"/>
          <w:sz w:val="24"/>
          <w:szCs w:val="24"/>
        </w:rPr>
      </w:pPr>
      <w:r w:rsidRPr="00BC26DC">
        <w:rPr>
          <w:color w:val="000000"/>
          <w:sz w:val="24"/>
          <w:szCs w:val="24"/>
        </w:rPr>
        <w:t>Ожидаемое поступление налога в 2021 году рассчитывается исходя из фактических поступлений сумм налога за 2020 год, скорректированных на сводный индекс потребительских цен (все товары и платные услуги), прогнозируемый в целом по Курской области на 2021 год.</w:t>
      </w:r>
    </w:p>
    <w:p w:rsidR="00FD16B4" w:rsidRPr="00BC26DC" w:rsidRDefault="00FD16B4">
      <w:pPr>
        <w:pStyle w:val="ConsNormal"/>
        <w:widowControl/>
        <w:ind w:right="-1" w:firstLine="709"/>
        <w:jc w:val="both"/>
        <w:rPr>
          <w:color w:val="000000"/>
          <w:sz w:val="24"/>
          <w:szCs w:val="24"/>
        </w:rPr>
      </w:pPr>
    </w:p>
    <w:p w:rsidR="00FD16B4" w:rsidRPr="00BC26DC" w:rsidRDefault="00FD16B4">
      <w:pPr>
        <w:autoSpaceDE w:val="0"/>
        <w:autoSpaceDN w:val="0"/>
        <w:adjustRightInd w:val="0"/>
        <w:ind w:right="-1" w:firstLine="709"/>
        <w:jc w:val="both"/>
        <w:rPr>
          <w:rFonts w:ascii="Arial" w:hAnsi="Arial" w:cs="Arial"/>
          <w:color w:val="000000"/>
        </w:rPr>
      </w:pPr>
      <w:proofErr w:type="gramStart"/>
      <w:r w:rsidRPr="00BC26DC">
        <w:rPr>
          <w:rFonts w:ascii="Arial" w:hAnsi="Arial" w:cs="Arial"/>
          <w:color w:val="000000"/>
        </w:rPr>
        <w:t xml:space="preserve">Налог на доходы физических лиц </w:t>
      </w:r>
      <w:r w:rsidRPr="00BC26DC">
        <w:rPr>
          <w:rFonts w:ascii="Arial" w:eastAsia="Calibri" w:hAnsi="Arial" w:cs="Arial"/>
          <w:lang w:eastAsia="en-US"/>
        </w:rPr>
        <w:t>в части суммы налога, превышающей 650 000 рублей, относящейся к части налоговой базы, превышающей 5 000 000 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</w:t>
      </w:r>
      <w:r w:rsidRPr="00BC26DC">
        <w:rPr>
          <w:rFonts w:ascii="Arial" w:hAnsi="Arial" w:cs="Arial"/>
        </w:rPr>
        <w:t xml:space="preserve">код 1 01 02080 01 0000 110), </w:t>
      </w:r>
      <w:r w:rsidRPr="00BC26DC">
        <w:rPr>
          <w:rFonts w:ascii="Arial" w:hAnsi="Arial" w:cs="Arial"/>
          <w:color w:val="000000"/>
        </w:rPr>
        <w:t>рассчитывается исходя из ожидаемого поступления налога в 2021 году</w:t>
      </w:r>
      <w:proofErr w:type="gramEnd"/>
      <w:r w:rsidRPr="00BC26DC">
        <w:rPr>
          <w:rFonts w:ascii="Arial" w:hAnsi="Arial" w:cs="Arial"/>
          <w:color w:val="000000"/>
        </w:rPr>
        <w:t>, скорректированного на темпы роста (снижения) фонда заработной платы на 2022– 2024 годы.</w:t>
      </w:r>
    </w:p>
    <w:p w:rsidR="00FD16B4" w:rsidRPr="00BC26DC" w:rsidRDefault="00FD16B4">
      <w:pPr>
        <w:autoSpaceDE w:val="0"/>
        <w:autoSpaceDN w:val="0"/>
        <w:adjustRightInd w:val="0"/>
        <w:ind w:right="-1" w:firstLine="709"/>
        <w:jc w:val="both"/>
        <w:rPr>
          <w:rFonts w:ascii="Arial" w:eastAsia="Calibri" w:hAnsi="Arial" w:cs="Arial"/>
          <w:lang w:eastAsia="en-US"/>
        </w:rPr>
      </w:pPr>
      <w:r w:rsidRPr="00BC26DC">
        <w:rPr>
          <w:rFonts w:ascii="Arial" w:hAnsi="Arial" w:cs="Arial"/>
          <w:color w:val="000000"/>
        </w:rPr>
        <w:t xml:space="preserve">Ожидаемое поступление налога в 2021 году рассчитывается исходя из суммы фактического поступления налога за </w:t>
      </w:r>
      <w:r w:rsidRPr="00BC26DC">
        <w:rPr>
          <w:rFonts w:ascii="Arial" w:hAnsi="Arial" w:cs="Arial"/>
          <w:color w:val="000000"/>
          <w:lang w:val="en-US"/>
        </w:rPr>
        <w:t>I</w:t>
      </w:r>
      <w:r w:rsidRPr="00BC26DC">
        <w:rPr>
          <w:rFonts w:ascii="Arial" w:hAnsi="Arial" w:cs="Arial"/>
          <w:color w:val="000000"/>
        </w:rPr>
        <w:t xml:space="preserve"> полугодие 2021 года и фактического поступления налога за июнь 2021 года умноженного на количество месяцев </w:t>
      </w:r>
      <w:r w:rsidRPr="00BC26DC">
        <w:rPr>
          <w:rFonts w:ascii="Arial" w:hAnsi="Arial" w:cs="Arial"/>
          <w:color w:val="000000"/>
          <w:lang w:val="en-US"/>
        </w:rPr>
        <w:t>II</w:t>
      </w:r>
      <w:r w:rsidRPr="00BC26DC">
        <w:rPr>
          <w:rFonts w:ascii="Arial" w:hAnsi="Arial" w:cs="Arial"/>
          <w:color w:val="000000"/>
        </w:rPr>
        <w:t xml:space="preserve"> полугодия 2021 года.</w:t>
      </w:r>
    </w:p>
    <w:p w:rsidR="00FD16B4" w:rsidRPr="00BC26DC" w:rsidRDefault="00FD16B4">
      <w:pPr>
        <w:pStyle w:val="ConsNormal"/>
        <w:widowControl/>
        <w:ind w:right="-1" w:firstLine="709"/>
        <w:jc w:val="both"/>
        <w:rPr>
          <w:color w:val="000000"/>
          <w:sz w:val="24"/>
          <w:szCs w:val="24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BC26DC">
        <w:rPr>
          <w:rFonts w:ascii="Arial" w:hAnsi="Arial" w:cs="Arial"/>
          <w:color w:val="000000"/>
        </w:rPr>
        <w:t>равным</w:t>
      </w:r>
      <w:proofErr w:type="gramEnd"/>
      <w:r w:rsidRPr="00BC26DC">
        <w:rPr>
          <w:rFonts w:ascii="Arial" w:hAnsi="Arial" w:cs="Arial"/>
          <w:color w:val="000000"/>
        </w:rPr>
        <w:t xml:space="preserve"> нулю.</w:t>
      </w:r>
    </w:p>
    <w:p w:rsidR="00FD16B4" w:rsidRPr="00BC26DC" w:rsidRDefault="00FD16B4">
      <w:pPr>
        <w:ind w:right="-1" w:firstLine="709"/>
        <w:rPr>
          <w:rFonts w:ascii="Arial" w:hAnsi="Arial" w:cs="Arial"/>
          <w:snapToGrid w:val="0"/>
          <w:color w:val="000000"/>
        </w:rPr>
      </w:pPr>
    </w:p>
    <w:p w:rsidR="00FD16B4" w:rsidRPr="00BC26DC" w:rsidRDefault="00FD16B4">
      <w:pPr>
        <w:shd w:val="clear" w:color="auto" w:fill="FFFFFF"/>
        <w:tabs>
          <w:tab w:val="left" w:pos="1819"/>
        </w:tabs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b/>
          <w:color w:val="000000"/>
        </w:rPr>
        <w:t>Налог на имущество физических лиц</w:t>
      </w:r>
      <w:r w:rsidRPr="00BC26DC">
        <w:rPr>
          <w:rFonts w:ascii="Arial" w:hAnsi="Arial" w:cs="Arial"/>
          <w:color w:val="000000"/>
        </w:rPr>
        <w:t xml:space="preserve"> (код </w:t>
      </w:r>
      <w:r w:rsidRPr="00BC26DC">
        <w:rPr>
          <w:rFonts w:ascii="Arial" w:hAnsi="Arial" w:cs="Arial"/>
          <w:snapToGrid w:val="0"/>
          <w:color w:val="000000"/>
        </w:rPr>
        <w:t>1 06 01000 00 0000 110</w:t>
      </w:r>
      <w:r w:rsidRPr="00BC26DC">
        <w:rPr>
          <w:rFonts w:ascii="Arial" w:hAnsi="Arial" w:cs="Arial"/>
          <w:color w:val="000000"/>
        </w:rPr>
        <w:t>)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Прогноз поступлений налога на 2022 – 2024 годы рассчитывается исходя из ожидаемого поступления налога в 2021 году.</w:t>
      </w:r>
    </w:p>
    <w:p w:rsidR="00FD16B4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Ожидаемое поступление в 2021 году определяется на уровне фактического поступления налога в 2020 году.</w:t>
      </w:r>
    </w:p>
    <w:p w:rsidR="00BC26DC" w:rsidRPr="00BC26DC" w:rsidRDefault="00BC26DC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b/>
          <w:bCs/>
          <w:color w:val="000000"/>
        </w:rPr>
        <w:t>Земельный налог</w:t>
      </w:r>
      <w:r w:rsidRPr="00BC26DC">
        <w:rPr>
          <w:rFonts w:ascii="Arial" w:hAnsi="Arial" w:cs="Arial"/>
          <w:bCs/>
          <w:color w:val="000000"/>
        </w:rPr>
        <w:t xml:space="preserve"> </w:t>
      </w:r>
      <w:r w:rsidRPr="00BC26DC">
        <w:rPr>
          <w:rFonts w:ascii="Arial" w:hAnsi="Arial" w:cs="Arial"/>
          <w:color w:val="000000"/>
        </w:rPr>
        <w:t>(код 1 06 06000 00 0000 110)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Прогноз поступлений земельного налога на 2022 – 2024 годы определяется на уровне ожидаемого поступления налога в 2021 году.</w:t>
      </w:r>
    </w:p>
    <w:p w:rsidR="00FD16B4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Ожидаемое поступление налога в 2021 году рассчитывается исходя из среднего значения фактических поступлений сумм налога в 2019 и 2020 годах.</w:t>
      </w:r>
    </w:p>
    <w:p w:rsidR="00BC26DC" w:rsidRPr="00BC26DC" w:rsidRDefault="00BC26DC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pStyle w:val="ConsNormal"/>
        <w:widowControl/>
        <w:tabs>
          <w:tab w:val="left" w:pos="6521"/>
        </w:tabs>
        <w:ind w:right="-1" w:firstLine="709"/>
        <w:jc w:val="both"/>
        <w:rPr>
          <w:color w:val="000000"/>
          <w:sz w:val="24"/>
          <w:szCs w:val="24"/>
        </w:rPr>
      </w:pPr>
      <w:proofErr w:type="gramStart"/>
      <w:r w:rsidRPr="00BC26DC">
        <w:rPr>
          <w:b/>
          <w:color w:val="000000"/>
          <w:sz w:val="24"/>
          <w:szCs w:val="24"/>
        </w:rPr>
        <w:t>Доходы, получаемые в виде арендной платы за земли после разграничения государственной собственности на землю, а также средства от 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 w:rsidRPr="00BC26DC">
        <w:rPr>
          <w:color w:val="000000"/>
          <w:sz w:val="24"/>
          <w:szCs w:val="24"/>
        </w:rPr>
        <w:t xml:space="preserve"> (коды 1 11 05024 04 0000 120; 1 11 05025 05 0000 120; 1 11 05025 10 0000 120;</w:t>
      </w:r>
      <w:proofErr w:type="gramEnd"/>
      <w:r w:rsidRPr="00BC26DC">
        <w:rPr>
          <w:color w:val="000000"/>
          <w:sz w:val="24"/>
          <w:szCs w:val="24"/>
        </w:rPr>
        <w:t xml:space="preserve"> 1 11 05025 13 0000 120)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>Поступление арендной платы за земли на 2022 – 2024 годы прогнозируется на уровне ожидаемого поступления доходов в 2021 году.</w:t>
      </w:r>
    </w:p>
    <w:p w:rsidR="00FD16B4" w:rsidRPr="00BC26DC" w:rsidRDefault="00FD16B4">
      <w:pPr>
        <w:pStyle w:val="ConsNormal"/>
        <w:widowControl/>
        <w:tabs>
          <w:tab w:val="left" w:pos="6521"/>
        </w:tabs>
        <w:ind w:right="-1" w:firstLine="709"/>
        <w:jc w:val="both"/>
        <w:rPr>
          <w:color w:val="000000"/>
          <w:sz w:val="24"/>
          <w:szCs w:val="24"/>
        </w:rPr>
      </w:pPr>
      <w:r w:rsidRPr="00BC26DC">
        <w:rPr>
          <w:color w:val="000000"/>
          <w:sz w:val="24"/>
          <w:szCs w:val="24"/>
        </w:rPr>
        <w:lastRenderedPageBreak/>
        <w:t>Ожидаемое поступление в 2021 году рассчитывается исходя из фактического поступления доходов во 2 полугодии 2020 года и в 1 полугодии 2021 года.</w:t>
      </w:r>
    </w:p>
    <w:p w:rsidR="00FD16B4" w:rsidRPr="00BC26DC" w:rsidRDefault="00FD16B4">
      <w:pPr>
        <w:tabs>
          <w:tab w:val="left" w:pos="709"/>
          <w:tab w:val="left" w:pos="851"/>
        </w:tabs>
        <w:ind w:right="-1" w:firstLine="709"/>
        <w:jc w:val="both"/>
        <w:rPr>
          <w:rFonts w:ascii="Arial" w:hAnsi="Arial" w:cs="Arial"/>
          <w:bCs/>
          <w:spacing w:val="-14"/>
        </w:rPr>
      </w:pPr>
      <w:r w:rsidRPr="00BC26DC">
        <w:rPr>
          <w:rFonts w:ascii="Arial" w:hAnsi="Arial" w:cs="Arial"/>
          <w:b/>
          <w:bCs/>
          <w:spacing w:val="-14"/>
        </w:rPr>
        <w:t xml:space="preserve">Штрафы, санкции, возмещение ущерба </w:t>
      </w:r>
      <w:r w:rsidRPr="00BC26DC">
        <w:rPr>
          <w:rFonts w:ascii="Arial" w:hAnsi="Arial" w:cs="Arial"/>
          <w:bCs/>
          <w:spacing w:val="-14"/>
        </w:rPr>
        <w:t>(код 1 16 00000 00 0000 000)</w:t>
      </w:r>
    </w:p>
    <w:p w:rsidR="00FD16B4" w:rsidRPr="00BC26DC" w:rsidRDefault="00FD16B4" w:rsidP="00BC26DC">
      <w:pPr>
        <w:shd w:val="clear" w:color="auto" w:fill="FFFFFF"/>
        <w:tabs>
          <w:tab w:val="left" w:pos="709"/>
        </w:tabs>
        <w:ind w:right="-1" w:firstLineChars="100" w:firstLine="240"/>
        <w:jc w:val="both"/>
        <w:rPr>
          <w:rFonts w:ascii="Arial" w:hAnsi="Arial" w:cs="Arial"/>
          <w:color w:val="000000"/>
        </w:rPr>
      </w:pPr>
      <w:proofErr w:type="gramStart"/>
      <w:r w:rsidRPr="00BC26DC">
        <w:rPr>
          <w:rFonts w:ascii="Arial" w:hAnsi="Arial" w:cs="Arial"/>
          <w:color w:val="000000"/>
        </w:rPr>
        <w:t xml:space="preserve">Поступление платежей в местные бюджеты в 2022-2024 годах по кодам бюджетной классификации 1 16 01053 01 0000 140; 1 16 01063 01 0000 140;1 16 01073 01 0000 140; </w:t>
      </w:r>
      <w:r w:rsidRPr="00BC26DC">
        <w:rPr>
          <w:rFonts w:ascii="Arial" w:hAnsi="Arial" w:cs="Arial"/>
          <w:snapToGrid w:val="0"/>
          <w:color w:val="000000"/>
        </w:rPr>
        <w:t>1 16 01074 01 0000 140;</w:t>
      </w:r>
      <w:r w:rsidRPr="00BC26DC">
        <w:rPr>
          <w:rFonts w:ascii="Arial" w:hAnsi="Arial" w:cs="Arial"/>
          <w:color w:val="000000"/>
        </w:rPr>
        <w:t xml:space="preserve"> 1 16 01083 01 0000 140;1 16 01084 01 0000 140; 1 16 01093 01 0000 140;</w:t>
      </w:r>
      <w:proofErr w:type="gramEnd"/>
      <w:r w:rsidRPr="00BC26DC">
        <w:rPr>
          <w:rFonts w:ascii="Arial" w:hAnsi="Arial" w:cs="Arial"/>
          <w:color w:val="000000"/>
        </w:rPr>
        <w:t xml:space="preserve"> </w:t>
      </w:r>
      <w:proofErr w:type="gramStart"/>
      <w:r w:rsidRPr="00BC26DC">
        <w:rPr>
          <w:rFonts w:ascii="Arial" w:hAnsi="Arial" w:cs="Arial"/>
          <w:color w:val="000000"/>
        </w:rPr>
        <w:t>1 16 01103 01 0000 1401 16 01113 01 0000 140; 1 16 01133 01 0000 140; 1 16 01143 01 0000 140; 1 16 01153 01 0000 140; 1 16 01157 01 0000 140; 1 16 01173 01 0000 140;1 16 01183 01 0000 140; 1 16 01193 01 0000 140;</w:t>
      </w:r>
      <w:proofErr w:type="gramEnd"/>
      <w:r w:rsidRPr="00BC26DC">
        <w:rPr>
          <w:rFonts w:ascii="Arial" w:hAnsi="Arial" w:cs="Arial"/>
          <w:color w:val="000000"/>
        </w:rPr>
        <w:t xml:space="preserve"> </w:t>
      </w:r>
      <w:proofErr w:type="gramStart"/>
      <w:r w:rsidRPr="00BC26DC">
        <w:rPr>
          <w:rFonts w:ascii="Arial" w:hAnsi="Arial" w:cs="Arial"/>
          <w:color w:val="000000"/>
        </w:rPr>
        <w:t>1 16 01194 01 0000 160;1 16 01203 01 0000 140; 1 16 02020 02 0000 140; 1 16 07010 00 0000 140;1 16 07090 00 0000 140; 1 16 10031 04 0000 140; 1 16 10032 04 0000 140;1 16 10031 05 0000 140; 1 16 10032 05 0000 140;</w:t>
      </w:r>
      <w:proofErr w:type="gramEnd"/>
      <w:r w:rsidRPr="00BC26DC">
        <w:rPr>
          <w:rFonts w:ascii="Arial" w:hAnsi="Arial" w:cs="Arial"/>
          <w:color w:val="000000"/>
        </w:rPr>
        <w:t xml:space="preserve"> </w:t>
      </w:r>
      <w:proofErr w:type="gramStart"/>
      <w:r w:rsidRPr="00BC26DC">
        <w:rPr>
          <w:rFonts w:ascii="Arial" w:hAnsi="Arial" w:cs="Arial"/>
          <w:snapToGrid w:val="0"/>
          <w:color w:val="000000"/>
        </w:rPr>
        <w:t>1 16 10032 10 0000 140;1 16 10062 04 0000 140; 1 16 10100 05 0000 140; 1 16 10100 10 0000 140;1 16 11050 01 0000 140; 1 16 11064 01 0000 140</w:t>
      </w:r>
      <w:r w:rsidRPr="00BC26DC">
        <w:rPr>
          <w:rFonts w:ascii="Arial" w:hAnsi="Arial" w:cs="Arial"/>
        </w:rPr>
        <w:t xml:space="preserve"> прогнозируется на уровне ожидаемого поступления доходов в 2021 году, которое рассчитывается на уровне удвоенного фактического поступления доходов в 1 полугодии 2021 года.</w:t>
      </w:r>
      <w:proofErr w:type="gramEnd"/>
    </w:p>
    <w:p w:rsidR="00FD16B4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 w:rsidRPr="00BC26DC">
        <w:rPr>
          <w:rFonts w:ascii="Arial" w:hAnsi="Arial" w:cs="Arial"/>
          <w:color w:val="000000"/>
        </w:rPr>
        <w:t>равным</w:t>
      </w:r>
      <w:proofErr w:type="gramEnd"/>
      <w:r w:rsidRPr="00BC26DC">
        <w:rPr>
          <w:rFonts w:ascii="Arial" w:hAnsi="Arial" w:cs="Arial"/>
          <w:color w:val="000000"/>
        </w:rPr>
        <w:t xml:space="preserve"> нулю.</w:t>
      </w:r>
    </w:p>
    <w:p w:rsidR="00BC26DC" w:rsidRPr="00BC26DC" w:rsidRDefault="00BC26DC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  <w:spacing w:val="-14"/>
        </w:rPr>
      </w:pPr>
      <w:r w:rsidRPr="00BC26DC">
        <w:rPr>
          <w:rFonts w:ascii="Arial" w:hAnsi="Arial" w:cs="Arial"/>
          <w:b/>
          <w:bCs/>
          <w:color w:val="000000"/>
          <w:spacing w:val="-14"/>
        </w:rPr>
        <w:t xml:space="preserve">Инициативные платежи </w:t>
      </w:r>
      <w:r w:rsidRPr="00BC26DC">
        <w:rPr>
          <w:rFonts w:ascii="Arial" w:hAnsi="Arial" w:cs="Arial"/>
          <w:color w:val="000000"/>
          <w:spacing w:val="-14"/>
        </w:rPr>
        <w:t xml:space="preserve">(код </w:t>
      </w:r>
      <w:r w:rsidRPr="00BC26DC">
        <w:rPr>
          <w:rFonts w:ascii="Arial" w:hAnsi="Arial" w:cs="Arial"/>
          <w:snapToGrid w:val="0"/>
          <w:color w:val="000000"/>
        </w:rPr>
        <w:t>1 17 15000 00 0000 150</w:t>
      </w:r>
      <w:r w:rsidRPr="00BC26DC">
        <w:rPr>
          <w:rFonts w:ascii="Arial" w:hAnsi="Arial" w:cs="Arial"/>
          <w:color w:val="000000"/>
          <w:spacing w:val="-14"/>
        </w:rPr>
        <w:t>)</w:t>
      </w:r>
    </w:p>
    <w:p w:rsidR="00FD16B4" w:rsidRPr="00BC26DC" w:rsidRDefault="00FD16B4">
      <w:pPr>
        <w:shd w:val="clear" w:color="auto" w:fill="FFFFFF"/>
        <w:tabs>
          <w:tab w:val="left" w:pos="0"/>
        </w:tabs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  <w:color w:val="000000"/>
        </w:rPr>
        <w:t xml:space="preserve">Поступление инициативных платежей в местные бюджеты в 2022 году прогнозируется на основании сведений о проектах муниципальных образований, прошедших конкурсный отбор в проекте «Народный бюджет», подготовленный </w:t>
      </w:r>
      <w:r w:rsidRPr="00BC26DC">
        <w:rPr>
          <w:rFonts w:ascii="Arial" w:hAnsi="Arial" w:cs="Arial"/>
        </w:rPr>
        <w:t>в</w:t>
      </w:r>
      <w:r w:rsidRPr="00BC26DC">
        <w:rPr>
          <w:rFonts w:ascii="Arial" w:hAnsi="Arial" w:cs="Arial"/>
          <w:lang w:val="en-US"/>
        </w:rPr>
        <w:t> </w:t>
      </w:r>
      <w:r w:rsidRPr="00BC26DC">
        <w:rPr>
          <w:rFonts w:ascii="Arial" w:hAnsi="Arial" w:cs="Arial"/>
        </w:rPr>
        <w:t>соответствии</w:t>
      </w:r>
      <w:r w:rsidRPr="00BC26DC">
        <w:rPr>
          <w:rFonts w:ascii="Arial" w:hAnsi="Arial" w:cs="Arial"/>
          <w:color w:val="000000"/>
        </w:rPr>
        <w:t xml:space="preserve"> с постановлением Администрации Курской области от 27.09.2016 №</w:t>
      </w:r>
      <w:r w:rsidRPr="00BC26DC">
        <w:rPr>
          <w:rFonts w:ascii="Arial" w:hAnsi="Arial" w:cs="Arial"/>
          <w:color w:val="000000"/>
          <w:lang w:val="en-US"/>
        </w:rPr>
        <w:t> </w:t>
      </w:r>
      <w:r w:rsidRPr="00BC26DC">
        <w:rPr>
          <w:rFonts w:ascii="Arial" w:hAnsi="Arial" w:cs="Arial"/>
          <w:color w:val="000000"/>
        </w:rPr>
        <w:t>732-па «О вопросах реализации проекта «Народный бюджет» в Курской области».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  <w:r w:rsidRPr="00BC26DC">
        <w:rPr>
          <w:rFonts w:ascii="Arial" w:hAnsi="Arial" w:cs="Arial"/>
        </w:rPr>
        <w:t>Поступление</w:t>
      </w:r>
      <w:r w:rsidRPr="00BC26DC">
        <w:rPr>
          <w:rFonts w:ascii="Arial" w:hAnsi="Arial" w:cs="Arial"/>
          <w:color w:val="000000"/>
        </w:rPr>
        <w:t xml:space="preserve"> инициативных платежей</w:t>
      </w:r>
      <w:r w:rsidRPr="00BC26DC">
        <w:rPr>
          <w:rFonts w:ascii="Arial" w:hAnsi="Arial" w:cs="Arial"/>
        </w:rPr>
        <w:t xml:space="preserve"> в </w:t>
      </w:r>
      <w:r w:rsidRPr="00BC26DC">
        <w:rPr>
          <w:rFonts w:ascii="Arial" w:hAnsi="Arial" w:cs="Arial"/>
          <w:color w:val="000000"/>
        </w:rPr>
        <w:t xml:space="preserve">местные бюджеты </w:t>
      </w:r>
      <w:r w:rsidRPr="00BC26DC">
        <w:rPr>
          <w:rFonts w:ascii="Arial" w:hAnsi="Arial" w:cs="Arial"/>
        </w:rPr>
        <w:t>в 2023 и 2024 годах не планируется.</w:t>
      </w:r>
    </w:p>
    <w:p w:rsidR="00FD16B4" w:rsidRPr="00BC26DC" w:rsidRDefault="00FD16B4">
      <w:pPr>
        <w:shd w:val="clear" w:color="auto" w:fill="FFFFFF"/>
        <w:ind w:right="-1" w:firstLine="709"/>
        <w:jc w:val="both"/>
        <w:rPr>
          <w:rFonts w:ascii="Arial" w:hAnsi="Arial" w:cs="Arial"/>
          <w:color w:val="000000"/>
        </w:rPr>
      </w:pPr>
    </w:p>
    <w:p w:rsidR="00FD16B4" w:rsidRPr="00BC26DC" w:rsidRDefault="00FD16B4">
      <w:pPr>
        <w:rPr>
          <w:rFonts w:ascii="Arial" w:hAnsi="Arial" w:cs="Arial"/>
        </w:rPr>
      </w:pPr>
    </w:p>
    <w:sectPr w:rsidR="00FD16B4" w:rsidRPr="00BC26DC" w:rsidSect="00BC26DC">
      <w:pgSz w:w="11906" w:h="16838"/>
      <w:pgMar w:top="1134" w:right="1134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2376"/>
    <w:multiLevelType w:val="hybridMultilevel"/>
    <w:tmpl w:val="FD6A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638"/>
    <w:rsid w:val="00145E44"/>
    <w:rsid w:val="00211843"/>
    <w:rsid w:val="003612A7"/>
    <w:rsid w:val="003E0F2D"/>
    <w:rsid w:val="00453087"/>
    <w:rsid w:val="004E7F01"/>
    <w:rsid w:val="004F2A08"/>
    <w:rsid w:val="00522E0D"/>
    <w:rsid w:val="005E2A69"/>
    <w:rsid w:val="006F38FE"/>
    <w:rsid w:val="0077609E"/>
    <w:rsid w:val="00994E79"/>
    <w:rsid w:val="00AC5638"/>
    <w:rsid w:val="00B46E7F"/>
    <w:rsid w:val="00BC26DC"/>
    <w:rsid w:val="00C112CC"/>
    <w:rsid w:val="00D24EBF"/>
    <w:rsid w:val="00D91F23"/>
    <w:rsid w:val="00DC7008"/>
    <w:rsid w:val="00E078BB"/>
    <w:rsid w:val="00E84459"/>
    <w:rsid w:val="00FD16B4"/>
    <w:rsid w:val="6361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F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F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D91F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AC5638"/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21184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Links>
    <vt:vector size="30" baseType="variant">
      <vt:variant>
        <vt:i4>3276901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consultantplus://offline/ref=7CF5E7937C8365AECD73DB089C4B5A5200234B2C2A47CD5E7C7E2E6552A10B04C699CC1DB4251D60v5K7H</vt:lpwstr>
      </vt:variant>
      <vt:variant>
        <vt:lpwstr/>
      </vt:variant>
      <vt:variant>
        <vt:i4>2424883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consultantplus://offline/ref=3BED62AED1E3212B22C1DBDF5D5BEC44C0DF1B5703116FB590C22EBE0812C0CC4463F9713D97mAn0F</vt:lpwstr>
      </vt:variant>
      <vt:variant>
        <vt:lpwstr/>
      </vt:variant>
      <vt:variant>
        <vt:i4>2818147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consultantplus://offline/ref=3D4CF882AD44F61CB78531C71F3BFD99A8498F4FF10B93FD02292512BEFAB10893E0A8ACD7B3D119f0k7F</vt:lpwstr>
      </vt:variant>
      <vt:variant>
        <vt:lpwstr/>
      </vt:variant>
      <vt:variant>
        <vt:i4>1703946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consultantplus://offline/ref=3D4CF882AD44F61CB78531C71F3BFD99A8498F4FF10B93FD02292512BEFAB10893E0A8ACD7BAD2f1k7F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consultantplus://offline/ref=3D4CF882AD44F61CB78531C71F3BFD99A8498F4FF10B93FD02292512BEFAB10893E0A8AED7B3fDkCF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79205</dc:creator>
  <cp:lastModifiedBy>1</cp:lastModifiedBy>
  <cp:revision>11</cp:revision>
  <cp:lastPrinted>2021-11-18T12:42:00Z</cp:lastPrinted>
  <dcterms:created xsi:type="dcterms:W3CDTF">2021-11-06T09:56:00Z</dcterms:created>
  <dcterms:modified xsi:type="dcterms:W3CDTF">2021-11-18T12:42:00Z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AEC5916865AF4914BE2CA53F7A00E255</vt:lpwstr>
  </property>
</Properties>
</file>